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AE4" w:rsidRPr="00FF04E1" w:rsidRDefault="00400AE4" w:rsidP="00400AE4">
      <w:pPr>
        <w:jc w:val="center"/>
        <w:rPr>
          <w:rFonts w:ascii="Times New Roman" w:hAnsi="Times New Roman" w:cs="Times New Roman"/>
          <w:b/>
          <w:lang w:val="en-GB"/>
        </w:rPr>
      </w:pPr>
      <w:bookmarkStart w:id="0" w:name="_GoBack"/>
      <w:bookmarkEnd w:id="0"/>
      <w:r>
        <w:rPr>
          <w:rFonts w:ascii="Times New Roman" w:hAnsi="Times New Roman" w:cs="Times New Roman"/>
          <w:b/>
          <w:lang w:val="en-GB"/>
        </w:rPr>
        <w:t>Meta-data for proposed indicators: rationale and method of computation</w:t>
      </w:r>
    </w:p>
    <w:p w:rsidR="00400AE4" w:rsidRPr="002F43DF" w:rsidRDefault="00400AE4" w:rsidP="00400AE4">
      <w:pPr>
        <w:rPr>
          <w:rFonts w:ascii="Times New Roman" w:hAnsi="Times New Roman" w:cs="Times New Roman"/>
          <w:lang w:val="en-GB"/>
        </w:rPr>
      </w:pPr>
    </w:p>
    <w:p w:rsidR="00400AE4" w:rsidRPr="002F43DF" w:rsidRDefault="00400AE4" w:rsidP="00400AE4">
      <w:pPr>
        <w:rPr>
          <w:rFonts w:ascii="Times New Roman" w:hAnsi="Times New Roman" w:cs="Times New Roman"/>
        </w:rPr>
      </w:pPr>
      <w:r>
        <w:rPr>
          <w:rFonts w:ascii="Times New Roman" w:hAnsi="Times New Roman" w:cs="Times New Roman"/>
        </w:rPr>
        <w:t>The proposed indicators are suggested as priority indicators for the following targets:</w:t>
      </w:r>
    </w:p>
    <w:p w:rsidR="00400AE4" w:rsidRPr="002F43DF" w:rsidRDefault="00400AE4" w:rsidP="00400AE4">
      <w:pPr>
        <w:rPr>
          <w:rFonts w:ascii="Times New Roman" w:hAnsi="Times New Roman" w:cs="Times New Roman"/>
        </w:rPr>
      </w:pPr>
    </w:p>
    <w:p w:rsidR="007C18F0" w:rsidRPr="007C18F0" w:rsidRDefault="007C18F0" w:rsidP="007C18F0">
      <w:pPr>
        <w:pStyle w:val="ListParagraph"/>
        <w:numPr>
          <w:ilvl w:val="0"/>
          <w:numId w:val="3"/>
        </w:numPr>
        <w:ind w:left="360"/>
        <w:rPr>
          <w:i/>
          <w:iCs/>
          <w:lang w:val="en-GB"/>
        </w:rPr>
      </w:pPr>
      <w:r w:rsidRPr="007C18F0">
        <w:rPr>
          <w:iCs/>
          <w:lang w:val="en-GB"/>
        </w:rPr>
        <w:t xml:space="preserve">5.2 </w:t>
      </w:r>
      <w:r w:rsidRPr="007C18F0">
        <w:rPr>
          <w:i/>
          <w:iCs/>
          <w:lang w:val="en-GB"/>
        </w:rPr>
        <w:t>Eliminate all forms of violence against all women and girls in the public and private spheres, including trafficking and sexual and other types of exploitation</w:t>
      </w:r>
      <w:r>
        <w:rPr>
          <w:iCs/>
          <w:lang w:val="en-GB"/>
        </w:rPr>
        <w:t>;</w:t>
      </w:r>
    </w:p>
    <w:p w:rsidR="00400AE4" w:rsidRPr="002F43DF" w:rsidRDefault="00400AE4" w:rsidP="007C18F0">
      <w:pPr>
        <w:pStyle w:val="ListParagraph"/>
        <w:numPr>
          <w:ilvl w:val="0"/>
          <w:numId w:val="3"/>
        </w:numPr>
        <w:ind w:left="360"/>
        <w:rPr>
          <w:i/>
          <w:iCs/>
          <w:lang w:val="en-GB"/>
        </w:rPr>
      </w:pPr>
      <w:r w:rsidRPr="002F43DF">
        <w:rPr>
          <w:iCs/>
          <w:lang w:val="en-GB"/>
        </w:rPr>
        <w:t xml:space="preserve">8.8: </w:t>
      </w:r>
      <w:r w:rsidRPr="002F43DF">
        <w:rPr>
          <w:i/>
          <w:iCs/>
          <w:lang w:val="en-GB"/>
        </w:rPr>
        <w:t xml:space="preserve">protect labour rights and promote safe and secure working environments of all workers, including migrant workers, particularly women migrants, and those in precarious situations; </w:t>
      </w:r>
    </w:p>
    <w:p w:rsidR="001634F8" w:rsidRDefault="00400AE4" w:rsidP="00400AE4">
      <w:pPr>
        <w:pStyle w:val="ListParagraph"/>
        <w:numPr>
          <w:ilvl w:val="0"/>
          <w:numId w:val="3"/>
        </w:numPr>
        <w:ind w:left="360"/>
        <w:rPr>
          <w:i/>
          <w:iCs/>
          <w:lang w:val="en-GB"/>
        </w:rPr>
      </w:pPr>
      <w:r w:rsidRPr="002F43DF">
        <w:rPr>
          <w:iCs/>
          <w:lang w:val="en-GB"/>
        </w:rPr>
        <w:t xml:space="preserve">10.7: </w:t>
      </w:r>
      <w:r w:rsidRPr="002F43DF">
        <w:rPr>
          <w:i/>
          <w:iCs/>
          <w:lang w:val="en-GB"/>
        </w:rPr>
        <w:t>facilitate orderly, safe, regular and responsible migration and mobility of people, including through implementation of planned and well-managed migration policies;</w:t>
      </w:r>
    </w:p>
    <w:p w:rsidR="00400AE4" w:rsidRDefault="00400AE4" w:rsidP="00400AE4">
      <w:pPr>
        <w:pStyle w:val="ListParagraph"/>
        <w:numPr>
          <w:ilvl w:val="0"/>
          <w:numId w:val="3"/>
        </w:numPr>
        <w:ind w:left="360"/>
        <w:rPr>
          <w:iCs/>
        </w:rPr>
      </w:pPr>
      <w:r w:rsidRPr="002F43DF">
        <w:rPr>
          <w:iCs/>
          <w:lang w:val="en-GB"/>
        </w:rPr>
        <w:t xml:space="preserve">10.c: </w:t>
      </w:r>
      <w:r w:rsidRPr="002F43DF">
        <w:rPr>
          <w:i/>
          <w:iCs/>
          <w:lang w:val="en-GB"/>
        </w:rPr>
        <w:t>by 2030, reduce to less than 3% the transaction costs of migrant remittances and eliminate remittance corridors with costs higher than 5%</w:t>
      </w:r>
      <w:r w:rsidRPr="002F43DF">
        <w:rPr>
          <w:iCs/>
        </w:rPr>
        <w:t xml:space="preserve">; </w:t>
      </w:r>
    </w:p>
    <w:p w:rsidR="007C18F0" w:rsidRPr="002F43DF" w:rsidRDefault="007C18F0" w:rsidP="00400AE4">
      <w:pPr>
        <w:pStyle w:val="ListParagraph"/>
        <w:numPr>
          <w:ilvl w:val="0"/>
          <w:numId w:val="3"/>
        </w:numPr>
        <w:ind w:left="360"/>
        <w:rPr>
          <w:iCs/>
        </w:rPr>
      </w:pPr>
      <w:r w:rsidRPr="007C18F0">
        <w:rPr>
          <w:iCs/>
          <w:lang w:val="en-GB"/>
        </w:rPr>
        <w:t xml:space="preserve">16.2 </w:t>
      </w:r>
      <w:r w:rsidRPr="007C18F0">
        <w:rPr>
          <w:i/>
          <w:iCs/>
          <w:lang w:val="en-GB"/>
        </w:rPr>
        <w:t>End abuse, exploitation, trafficking and all forms of violence against and torture of children</w:t>
      </w:r>
      <w:r w:rsidRPr="007C18F0">
        <w:rPr>
          <w:iCs/>
          <w:lang w:val="en-GB"/>
        </w:rPr>
        <w:t>;</w:t>
      </w:r>
    </w:p>
    <w:p w:rsidR="00400AE4" w:rsidRPr="002F43DF" w:rsidRDefault="00400AE4" w:rsidP="00400AE4">
      <w:pPr>
        <w:rPr>
          <w:rFonts w:ascii="Times New Roman" w:hAnsi="Times New Roman" w:cs="Times New Roman"/>
          <w:lang w:val="en-GB"/>
        </w:rPr>
      </w:pPr>
    </w:p>
    <w:p w:rsidR="00400AE4" w:rsidRPr="005D5949" w:rsidRDefault="00400AE4" w:rsidP="00400AE4">
      <w:pPr>
        <w:rPr>
          <w:rFonts w:ascii="Times New Roman" w:hAnsi="Times New Roman" w:cs="Times New Roman"/>
          <w:b/>
          <w:lang w:val="en-GB"/>
        </w:rPr>
      </w:pPr>
      <w:r w:rsidRPr="005D5949">
        <w:rPr>
          <w:rFonts w:ascii="Times New Roman" w:hAnsi="Times New Roman" w:cs="Times New Roman"/>
          <w:b/>
          <w:lang w:val="en-GB"/>
        </w:rPr>
        <w:t>List of proposed migration-related indicators</w:t>
      </w:r>
    </w:p>
    <w:p w:rsidR="00400AE4" w:rsidRPr="007C18F0" w:rsidRDefault="007C18F0" w:rsidP="00400AE4">
      <w:pPr>
        <w:pStyle w:val="ListParagraph"/>
        <w:numPr>
          <w:ilvl w:val="0"/>
          <w:numId w:val="1"/>
        </w:numPr>
        <w:rPr>
          <w:lang w:val="en-GB"/>
        </w:rPr>
      </w:pPr>
      <w:r w:rsidRPr="007C18F0">
        <w:rPr>
          <w:lang w:val="en-GB"/>
        </w:rPr>
        <w:t>Number of victims of human trafficking per 100,000 persons</w:t>
      </w:r>
      <w:r w:rsidR="00400AE4" w:rsidRPr="007C18F0">
        <w:rPr>
          <w:lang w:val="en-GB"/>
        </w:rPr>
        <w:t xml:space="preserve"> (5.2 and 16.2)</w:t>
      </w:r>
    </w:p>
    <w:p w:rsidR="00400AE4" w:rsidRPr="007C18F0" w:rsidRDefault="007C18F0" w:rsidP="00400AE4">
      <w:pPr>
        <w:pStyle w:val="ListParagraph"/>
        <w:numPr>
          <w:ilvl w:val="0"/>
          <w:numId w:val="1"/>
        </w:numPr>
        <w:rPr>
          <w:i/>
          <w:lang w:val="en-GB"/>
        </w:rPr>
      </w:pPr>
      <w:r w:rsidRPr="007C18F0">
        <w:rPr>
          <w:lang w:val="en-GB"/>
        </w:rPr>
        <w:t xml:space="preserve">Frequency rates of fatal and non-fatal occupational injuries and time lost due to occupational injuries, by sex (indicator 8.8.2), </w:t>
      </w:r>
      <w:r w:rsidRPr="007C18F0">
        <w:rPr>
          <w:i/>
          <w:lang w:val="en-GB"/>
        </w:rPr>
        <w:t xml:space="preserve">disaggregated reporting by migratory status (citizenship status or nativity status) </w:t>
      </w:r>
    </w:p>
    <w:p w:rsidR="00400AE4" w:rsidRDefault="007C18F0" w:rsidP="00400AE4">
      <w:pPr>
        <w:pStyle w:val="ListParagraph"/>
        <w:numPr>
          <w:ilvl w:val="0"/>
          <w:numId w:val="1"/>
        </w:numPr>
        <w:rPr>
          <w:lang w:val="en-GB"/>
        </w:rPr>
      </w:pPr>
      <w:r w:rsidRPr="007C18F0">
        <w:rPr>
          <w:lang w:val="en-GB"/>
        </w:rPr>
        <w:t xml:space="preserve">International Migration Policy Index </w:t>
      </w:r>
      <w:r w:rsidR="00400AE4" w:rsidRPr="007C18F0">
        <w:rPr>
          <w:lang w:val="en-GB"/>
        </w:rPr>
        <w:t>(10.7</w:t>
      </w:r>
      <w:r w:rsidR="001634F8">
        <w:rPr>
          <w:lang w:val="en-GB"/>
        </w:rPr>
        <w:t xml:space="preserve"> – </w:t>
      </w:r>
      <w:r w:rsidR="001634F8" w:rsidRPr="001634F8">
        <w:rPr>
          <w:i/>
          <w:lang w:val="en-GB"/>
        </w:rPr>
        <w:t>priority 1</w:t>
      </w:r>
      <w:r w:rsidR="00400AE4" w:rsidRPr="007C18F0">
        <w:rPr>
          <w:lang w:val="en-GB"/>
        </w:rPr>
        <w:t>)</w:t>
      </w:r>
    </w:p>
    <w:p w:rsidR="001634F8" w:rsidRPr="001634F8" w:rsidRDefault="001634F8" w:rsidP="001634F8">
      <w:pPr>
        <w:pStyle w:val="ListParagraph"/>
        <w:numPr>
          <w:ilvl w:val="0"/>
          <w:numId w:val="1"/>
        </w:numPr>
        <w:rPr>
          <w:iCs/>
          <w:lang w:val="en-GB"/>
        </w:rPr>
      </w:pPr>
      <w:r w:rsidRPr="001634F8">
        <w:rPr>
          <w:iCs/>
          <w:lang w:val="en-GB"/>
        </w:rPr>
        <w:t xml:space="preserve">Recruitment cost born by employee as a percentage of yearly income earned in country of destination (10.7 - </w:t>
      </w:r>
      <w:r w:rsidRPr="001634F8">
        <w:rPr>
          <w:i/>
          <w:iCs/>
          <w:lang w:val="en-GB"/>
        </w:rPr>
        <w:t>priority 2</w:t>
      </w:r>
      <w:r w:rsidRPr="001634F8">
        <w:rPr>
          <w:iCs/>
          <w:lang w:val="en-GB"/>
        </w:rPr>
        <w:t xml:space="preserve">) </w:t>
      </w:r>
    </w:p>
    <w:p w:rsidR="00400AE4" w:rsidRPr="007C18F0" w:rsidRDefault="007C18F0" w:rsidP="00400AE4">
      <w:pPr>
        <w:pStyle w:val="ListParagraph"/>
        <w:numPr>
          <w:ilvl w:val="0"/>
          <w:numId w:val="1"/>
        </w:numPr>
        <w:rPr>
          <w:lang w:val="en-GB"/>
        </w:rPr>
      </w:pPr>
      <w:r w:rsidRPr="007C18F0">
        <w:rPr>
          <w:lang w:val="en-GB"/>
        </w:rPr>
        <w:t xml:space="preserve">Remittance costs as a percentage of the amount remitted </w:t>
      </w:r>
      <w:r w:rsidR="00400AE4" w:rsidRPr="007C18F0">
        <w:rPr>
          <w:lang w:val="en-GB"/>
        </w:rPr>
        <w:t>(10.c)</w:t>
      </w:r>
    </w:p>
    <w:p w:rsidR="00400AE4" w:rsidRPr="007C18F0" w:rsidRDefault="007C18F0" w:rsidP="00400AE4">
      <w:pPr>
        <w:pStyle w:val="ListParagraph"/>
        <w:numPr>
          <w:ilvl w:val="0"/>
          <w:numId w:val="1"/>
        </w:numPr>
        <w:rPr>
          <w:lang w:val="en-GB"/>
        </w:rPr>
      </w:pPr>
      <w:r w:rsidRPr="007C18F0">
        <w:rPr>
          <w:lang w:val="en-GB"/>
        </w:rPr>
        <w:t>Percentage of refugees and IDPs who have found a durable solution</w:t>
      </w:r>
      <w:r w:rsidR="00400AE4" w:rsidRPr="007C18F0">
        <w:rPr>
          <w:lang w:val="en-GB"/>
        </w:rPr>
        <w:t xml:space="preserve"> (16.1)</w:t>
      </w:r>
    </w:p>
    <w:p w:rsidR="00400AE4" w:rsidRPr="002F43DF" w:rsidRDefault="00400AE4" w:rsidP="00400AE4">
      <w:pPr>
        <w:rPr>
          <w:rFonts w:ascii="Times New Roman" w:hAnsi="Times New Roman" w:cs="Times New Roman"/>
          <w:lang w:val="en-GB"/>
        </w:rPr>
      </w:pPr>
    </w:p>
    <w:p w:rsidR="00400AE4" w:rsidRDefault="00400AE4" w:rsidP="00400AE4">
      <w:pPr>
        <w:pStyle w:val="ListParagraph"/>
        <w:ind w:left="0"/>
        <w:rPr>
          <w:lang w:val="en-GB"/>
        </w:rPr>
      </w:pPr>
      <w:r w:rsidRPr="00A12791">
        <w:rPr>
          <w:b/>
          <w:lang w:val="en-GB"/>
        </w:rPr>
        <w:t>Annex I</w:t>
      </w:r>
      <w:r>
        <w:rPr>
          <w:lang w:val="en-GB"/>
        </w:rPr>
        <w:t xml:space="preserve"> contains meta-data for </w:t>
      </w:r>
      <w:r w:rsidRPr="00D86ABB">
        <w:rPr>
          <w:lang w:val="en-GB"/>
        </w:rPr>
        <w:t>the</w:t>
      </w:r>
      <w:r w:rsidR="007C18F0">
        <w:rPr>
          <w:lang w:val="en-GB"/>
        </w:rPr>
        <w:t>se</w:t>
      </w:r>
      <w:r w:rsidRPr="00D86ABB">
        <w:rPr>
          <w:lang w:val="en-GB"/>
        </w:rPr>
        <w:t xml:space="preserve"> indicators</w:t>
      </w:r>
      <w:r>
        <w:rPr>
          <w:lang w:val="en-GB"/>
        </w:rPr>
        <w:t xml:space="preserve">, including how they </w:t>
      </w:r>
      <w:r w:rsidRPr="00D86ABB">
        <w:rPr>
          <w:lang w:val="en-GB"/>
        </w:rPr>
        <w:t>could be formulated, their rationale and how they could be computed.</w:t>
      </w:r>
    </w:p>
    <w:p w:rsidR="00400AE4" w:rsidRDefault="00400AE4" w:rsidP="00400AE4">
      <w:pPr>
        <w:pStyle w:val="ListParagraph"/>
        <w:ind w:left="0"/>
        <w:rPr>
          <w:lang w:val="en-GB"/>
        </w:rPr>
      </w:pPr>
    </w:p>
    <w:p w:rsidR="00400AE4" w:rsidRDefault="00400AE4" w:rsidP="00400AE4">
      <w:pPr>
        <w:pStyle w:val="ListParagraph"/>
        <w:ind w:left="0"/>
        <w:rPr>
          <w:lang w:val="en-GB"/>
        </w:rPr>
      </w:pPr>
      <w:r w:rsidRPr="00A12791">
        <w:rPr>
          <w:b/>
          <w:lang w:val="en-GB"/>
        </w:rPr>
        <w:t xml:space="preserve">Annex II </w:t>
      </w:r>
      <w:r>
        <w:rPr>
          <w:lang w:val="en-GB"/>
        </w:rPr>
        <w:t>lists other indicators that should be prioritized for disaggregation by migratory status (</w:t>
      </w:r>
      <w:r w:rsidRPr="006F11E9">
        <w:rPr>
          <w:i/>
          <w:lang w:val="en-GB"/>
        </w:rPr>
        <w:t>nativity</w:t>
      </w:r>
      <w:r>
        <w:rPr>
          <w:i/>
          <w:lang w:val="en-GB"/>
        </w:rPr>
        <w:t xml:space="preserve"> status</w:t>
      </w:r>
      <w:r>
        <w:rPr>
          <w:lang w:val="en-GB"/>
        </w:rPr>
        <w:t xml:space="preserve"> or </w:t>
      </w:r>
      <w:r w:rsidRPr="006F11E9">
        <w:rPr>
          <w:i/>
          <w:lang w:val="en-GB"/>
        </w:rPr>
        <w:t xml:space="preserve">citizenship </w:t>
      </w:r>
      <w:r>
        <w:rPr>
          <w:i/>
          <w:lang w:val="en-GB"/>
        </w:rPr>
        <w:t>status</w:t>
      </w:r>
      <w:r>
        <w:rPr>
          <w:lang w:val="en-GB"/>
        </w:rPr>
        <w:t>).</w:t>
      </w:r>
    </w:p>
    <w:p w:rsidR="00400AE4" w:rsidRDefault="00400AE4" w:rsidP="00400AE4">
      <w:pPr>
        <w:rPr>
          <w:rFonts w:ascii="Times New Roman" w:eastAsia="Times New Roman" w:hAnsi="Times New Roman" w:cs="Times New Roman"/>
          <w:lang w:val="en-GB"/>
        </w:rPr>
      </w:pPr>
      <w:r>
        <w:rPr>
          <w:lang w:val="en-GB"/>
        </w:rPr>
        <w:br w:type="page"/>
      </w:r>
    </w:p>
    <w:p w:rsidR="00400AE4" w:rsidRPr="00104D09" w:rsidRDefault="00400AE4" w:rsidP="00400AE4">
      <w:pPr>
        <w:pStyle w:val="ListParagraph"/>
        <w:ind w:left="-284" w:right="-489"/>
        <w:jc w:val="center"/>
        <w:rPr>
          <w:lang w:val="en-GB"/>
        </w:rPr>
      </w:pPr>
      <w:r w:rsidRPr="00104D09">
        <w:rPr>
          <w:u w:val="single"/>
          <w:lang w:val="en-GB"/>
        </w:rPr>
        <w:lastRenderedPageBreak/>
        <w:t>ANNEX I. Rationale and method of computing proposed indicators</w:t>
      </w:r>
    </w:p>
    <w:p w:rsidR="007C18F0" w:rsidRDefault="007C18F0" w:rsidP="007C18F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69"/>
      </w:tblGrid>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69" w:type="dxa"/>
          </w:tcPr>
          <w:p w:rsidR="007C18F0" w:rsidRPr="00C7723C" w:rsidRDefault="007C18F0" w:rsidP="007B2862">
            <w:pPr>
              <w:ind w:right="-631"/>
              <w:rPr>
                <w:rFonts w:ascii="Times New Roman" w:hAnsi="Times New Roman" w:cs="Times New Roman"/>
                <w:b/>
                <w:color w:val="333333"/>
                <w:sz w:val="20"/>
                <w:szCs w:val="20"/>
                <w:shd w:val="clear" w:color="auto" w:fill="FFFFFF"/>
                <w:lang w:val="en-GB"/>
              </w:rPr>
            </w:pPr>
            <w:r>
              <w:rPr>
                <w:rFonts w:ascii="Times New Roman" w:hAnsi="Times New Roman" w:cs="Times New Roman"/>
                <w:b/>
                <w:color w:val="333333"/>
                <w:sz w:val="20"/>
                <w:szCs w:val="20"/>
                <w:shd w:val="clear" w:color="auto" w:fill="FFFFFF"/>
                <w:lang w:val="en-GB"/>
              </w:rPr>
              <w:t xml:space="preserve">Number of victims of </w:t>
            </w:r>
            <w:r w:rsidRPr="00C7723C">
              <w:rPr>
                <w:rFonts w:ascii="Times New Roman" w:hAnsi="Times New Roman" w:cs="Times New Roman"/>
                <w:b/>
                <w:color w:val="333333"/>
                <w:sz w:val="20"/>
                <w:szCs w:val="20"/>
                <w:shd w:val="clear" w:color="auto" w:fill="FFFFFF"/>
                <w:lang w:val="en-GB"/>
              </w:rPr>
              <w:t>human traffick</w:t>
            </w:r>
            <w:r>
              <w:rPr>
                <w:rFonts w:ascii="Times New Roman" w:hAnsi="Times New Roman" w:cs="Times New Roman"/>
                <w:b/>
                <w:color w:val="333333"/>
                <w:sz w:val="20"/>
                <w:szCs w:val="20"/>
                <w:shd w:val="clear" w:color="auto" w:fill="FFFFFF"/>
                <w:lang w:val="en-GB"/>
              </w:rPr>
              <w:t>ing per 100,000 persons</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7C18F0" w:rsidRPr="001E0BF4" w:rsidRDefault="007C18F0" w:rsidP="007B2862">
            <w:pPr>
              <w:rPr>
                <w:rFonts w:ascii="Times New Roman" w:hAnsi="Times New Roman" w:cs="Times New Roman"/>
                <w:i/>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5.2 </w:t>
            </w:r>
            <w:r w:rsidRPr="001E0BF4">
              <w:rPr>
                <w:rFonts w:ascii="Times New Roman" w:hAnsi="Times New Roman" w:cs="Times New Roman"/>
                <w:i/>
                <w:color w:val="333333"/>
                <w:sz w:val="20"/>
                <w:szCs w:val="20"/>
                <w:shd w:val="clear" w:color="auto" w:fill="FFFFFF"/>
                <w:lang w:val="en-GB"/>
              </w:rPr>
              <w:t>Eliminate all forms of violence against all women and girls in the public and private spheres, including trafficking and sexual and other types of exploitation</w:t>
            </w:r>
            <w:r w:rsidRPr="001E0BF4">
              <w:rPr>
                <w:rFonts w:ascii="Times New Roman" w:hAnsi="Times New Roman" w:cs="Times New Roman"/>
                <w:color w:val="333333"/>
                <w:sz w:val="20"/>
                <w:szCs w:val="20"/>
                <w:shd w:val="clear" w:color="auto" w:fill="FFFFFF"/>
                <w:lang w:val="en-GB"/>
              </w:rPr>
              <w:t xml:space="preserve">; and </w:t>
            </w:r>
          </w:p>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16.2 </w:t>
            </w:r>
            <w:r w:rsidRPr="00C7723C">
              <w:rPr>
                <w:rFonts w:ascii="Times New Roman" w:hAnsi="Times New Roman" w:cs="Times New Roman"/>
                <w:i/>
                <w:color w:val="333333"/>
                <w:sz w:val="20"/>
                <w:szCs w:val="20"/>
                <w:shd w:val="clear" w:color="auto" w:fill="FFFFFF"/>
                <w:lang w:val="en-GB"/>
              </w:rPr>
              <w:t>End abuse, exploitation, trafficking and all forms of violence against and torture of children</w:t>
            </w:r>
            <w:r w:rsidRPr="00C7723C">
              <w:rPr>
                <w:rFonts w:ascii="Times New Roman" w:hAnsi="Times New Roman" w:cs="Times New Roman"/>
                <w:color w:val="333333"/>
                <w:sz w:val="20"/>
                <w:szCs w:val="20"/>
                <w:shd w:val="clear" w:color="auto" w:fill="FFFFFF"/>
                <w:lang w:val="en-GB"/>
              </w:rPr>
              <w:t xml:space="preserve">; </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Trafficking in persons is a universal form of modern-day slavery. Trafficked persons are often victims of physical, sexual and psychological violence. The demand for cheap labour and sexual services, coupled with criminal practices that seek to profit from the exploitation of vulnerable people, is its main driver. Addressing this most egregious violation of human rights would significantly contribute to one of the main priorities of post-2015 namely to “leave no one behind” and has its legal basis in the UN Convention on Transnational Organized Crime and the optional protocol on human trafficking.</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7C18F0" w:rsidRPr="00C7723C" w:rsidRDefault="007C18F0" w:rsidP="007B2862">
            <w:pPr>
              <w:ind w:right="77"/>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Number of </w:t>
            </w:r>
            <w:r>
              <w:rPr>
                <w:rFonts w:ascii="Times New Roman" w:hAnsi="Times New Roman" w:cs="Times New Roman"/>
                <w:color w:val="333333"/>
                <w:sz w:val="20"/>
                <w:szCs w:val="20"/>
                <w:shd w:val="clear" w:color="auto" w:fill="FFFFFF"/>
                <w:lang w:val="en-GB"/>
              </w:rPr>
              <w:t xml:space="preserve">identified victims of trafficking divided by population (per 100,000 persons). </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7C18F0" w:rsidRPr="00C7723C" w:rsidRDefault="007C18F0" w:rsidP="007B2862">
            <w:pPr>
              <w:rPr>
                <w:rFonts w:ascii="Times New Roman" w:hAnsi="Times New Roman" w:cs="Times New Roman"/>
                <w:sz w:val="20"/>
                <w:szCs w:val="20"/>
                <w:lang w:val="en-GB"/>
              </w:rPr>
            </w:pPr>
            <w:r>
              <w:rPr>
                <w:rFonts w:ascii="Times New Roman" w:hAnsi="Times New Roman" w:cs="Times New Roman"/>
                <w:sz w:val="20"/>
                <w:szCs w:val="20"/>
                <w:lang w:val="en-GB"/>
              </w:rPr>
              <w:t>A</w:t>
            </w:r>
            <w:r w:rsidRPr="00C7723C">
              <w:rPr>
                <w:rFonts w:ascii="Times New Roman" w:hAnsi="Times New Roman" w:cs="Times New Roman"/>
                <w:sz w:val="20"/>
                <w:szCs w:val="20"/>
                <w:lang w:val="en-GB"/>
              </w:rPr>
              <w:t>dministrative statistics</w:t>
            </w:r>
            <w:r>
              <w:rPr>
                <w:rFonts w:ascii="Times New Roman" w:hAnsi="Times New Roman" w:cs="Times New Roman"/>
                <w:sz w:val="20"/>
                <w:szCs w:val="20"/>
                <w:lang w:val="en-GB"/>
              </w:rPr>
              <w:t xml:space="preserve"> from the criminal justice system (courts, police, etc.)</w:t>
            </w:r>
          </w:p>
          <w:p w:rsidR="007C18F0" w:rsidRPr="00C7723C" w:rsidRDefault="007C18F0" w:rsidP="007B2862">
            <w:pPr>
              <w:ind w:left="720"/>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r>
              <w:rPr>
                <w:rFonts w:ascii="Times New Roman" w:hAnsi="Times New Roman" w:cs="Times New Roman"/>
                <w:color w:val="333333"/>
                <w:sz w:val="20"/>
                <w:szCs w:val="20"/>
                <w:shd w:val="clear" w:color="auto" w:fill="FFFFFF"/>
                <w:lang w:val="en-GB"/>
              </w:rPr>
              <w:t>Current d</w:t>
            </w:r>
            <w:r w:rsidRPr="00C7723C">
              <w:rPr>
                <w:rFonts w:ascii="Times New Roman" w:hAnsi="Times New Roman" w:cs="Times New Roman"/>
                <w:color w:val="333333"/>
                <w:sz w:val="20"/>
                <w:szCs w:val="20"/>
                <w:shd w:val="clear" w:color="auto" w:fill="FFFFFF"/>
                <w:lang w:val="en-GB"/>
              </w:rPr>
              <w:t>ata sources include the UNODC Global Report on Trafficking in Persons, the U.S. Department of State’s Trafficking in Persons Report; IOM Trafficked Migrants Assistance Database</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7C18F0" w:rsidRDefault="007C18F0" w:rsidP="007B2862">
            <w:pPr>
              <w:rPr>
                <w:rFonts w:ascii="Times New Roman" w:hAnsi="Times New Roman" w:cs="Times New Roman"/>
                <w:sz w:val="20"/>
                <w:szCs w:val="20"/>
                <w:lang w:val="en-GB"/>
              </w:rPr>
            </w:pPr>
            <w:r>
              <w:rPr>
                <w:rFonts w:ascii="Times New Roman" w:hAnsi="Times New Roman" w:cs="Times New Roman"/>
                <w:sz w:val="20"/>
                <w:szCs w:val="20"/>
                <w:lang w:val="en-GB"/>
              </w:rPr>
              <w:t>Ministries of Justice/Interior</w:t>
            </w:r>
          </w:p>
          <w:p w:rsidR="007C18F0" w:rsidRDefault="007C18F0" w:rsidP="007B2862">
            <w:pPr>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sz w:val="20"/>
                <w:szCs w:val="20"/>
                <w:lang w:val="en-GB"/>
              </w:rPr>
              <w:t>Global Migration Group</w:t>
            </w:r>
          </w:p>
          <w:p w:rsidR="007C18F0" w:rsidRPr="00C7723C" w:rsidRDefault="007C18F0" w:rsidP="007B2862">
            <w:pPr>
              <w:rPr>
                <w:rFonts w:ascii="Times New Roman" w:hAnsi="Times New Roman" w:cs="Times New Roman"/>
                <w:sz w:val="20"/>
                <w:szCs w:val="20"/>
                <w:lang w:val="en-GB"/>
              </w:rPr>
            </w:pP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7C18F0" w:rsidRPr="00C7723C" w:rsidRDefault="007C18F0" w:rsidP="007B2862">
            <w:pPr>
              <w:rPr>
                <w:rFonts w:ascii="Times New Roman" w:hAnsi="Times New Roman" w:cs="Times New Roman"/>
                <w:sz w:val="20"/>
                <w:szCs w:val="20"/>
                <w:lang w:val="en-GB"/>
              </w:rPr>
            </w:pPr>
          </w:p>
        </w:tc>
      </w:tr>
    </w:tbl>
    <w:p w:rsidR="007C18F0" w:rsidRPr="00C7723C" w:rsidRDefault="007C18F0" w:rsidP="007C18F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66"/>
        <w:gridCol w:w="7669"/>
      </w:tblGrid>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69" w:type="dxa"/>
          </w:tcPr>
          <w:p w:rsidR="007C18F0" w:rsidRPr="003E5DB6" w:rsidRDefault="007C18F0" w:rsidP="007B2862">
            <w:pPr>
              <w:pStyle w:val="ListParagraph"/>
              <w:ind w:left="0"/>
              <w:rPr>
                <w:b/>
                <w:sz w:val="20"/>
                <w:szCs w:val="20"/>
                <w:lang w:val="en-GB"/>
              </w:rPr>
            </w:pPr>
            <w:r w:rsidRPr="00077CED">
              <w:rPr>
                <w:b/>
                <w:sz w:val="20"/>
                <w:szCs w:val="20"/>
                <w:lang w:val="en-GB"/>
              </w:rPr>
              <w:t>Frequency rates of fatal and non-fatal occupational injuries and time lost due to occupational injuries, by sex</w:t>
            </w:r>
            <w:r>
              <w:rPr>
                <w:b/>
                <w:sz w:val="20"/>
                <w:szCs w:val="20"/>
                <w:lang w:val="en-GB"/>
              </w:rPr>
              <w:t xml:space="preserve">, </w:t>
            </w:r>
            <w:r w:rsidRPr="001E0BF4">
              <w:rPr>
                <w:b/>
                <w:i/>
                <w:color w:val="333333"/>
                <w:sz w:val="20"/>
                <w:szCs w:val="20"/>
                <w:shd w:val="clear" w:color="auto" w:fill="FFFFFF"/>
                <w:lang w:val="en-GB"/>
              </w:rPr>
              <w:t>disaggregated reporting by migratory status (citizenship status or nativity status)</w:t>
            </w:r>
            <w:r w:rsidRPr="001E0BF4">
              <w:rPr>
                <w:b/>
                <w:i/>
                <w:sz w:val="20"/>
                <w:szCs w:val="20"/>
                <w:lang w:val="en-GB"/>
              </w:rPr>
              <w:t xml:space="preserve"> </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7C18F0" w:rsidRPr="003E5DB6" w:rsidRDefault="007C18F0" w:rsidP="007B2862">
            <w:pPr>
              <w:rPr>
                <w:rFonts w:ascii="Times New Roman" w:hAnsi="Times New Roman" w:cs="Times New Roman"/>
                <w:i/>
                <w:color w:val="333333"/>
                <w:sz w:val="20"/>
                <w:szCs w:val="20"/>
                <w:shd w:val="clear" w:color="auto" w:fill="FFFFFF"/>
                <w:lang w:val="en-GB"/>
              </w:rPr>
            </w:pPr>
            <w:r w:rsidRPr="003E5DB6">
              <w:rPr>
                <w:rFonts w:ascii="Times New Roman" w:hAnsi="Times New Roman" w:cs="Times New Roman"/>
                <w:color w:val="333333"/>
                <w:sz w:val="20"/>
                <w:szCs w:val="20"/>
                <w:shd w:val="clear" w:color="auto" w:fill="FFFFFF"/>
                <w:lang w:val="en-GB"/>
              </w:rPr>
              <w:t xml:space="preserve">8.8 </w:t>
            </w:r>
            <w:r w:rsidRPr="003E5DB6">
              <w:rPr>
                <w:rFonts w:ascii="Times New Roman" w:hAnsi="Times New Roman" w:cs="Times New Roman"/>
                <w:i/>
                <w:color w:val="333333"/>
                <w:sz w:val="20"/>
                <w:szCs w:val="20"/>
                <w:shd w:val="clear" w:color="auto" w:fill="FFFFFF"/>
                <w:lang w:val="en-GB"/>
              </w:rPr>
              <w:t>Protect labour rights and promote safe and secure working environment of all workers, including migrant workers, particularly women migrants, and those in precarious employment</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7C18F0" w:rsidRPr="003E5DB6" w:rsidRDefault="00615735" w:rsidP="007B2862">
            <w:pPr>
              <w:rPr>
                <w:rFonts w:ascii="Times New Roman" w:hAnsi="Times New Roman" w:cs="Times New Roman"/>
                <w:b/>
                <w:color w:val="FF0000"/>
                <w:sz w:val="20"/>
                <w:szCs w:val="20"/>
                <w:shd w:val="clear" w:color="auto" w:fill="FFFFFF"/>
                <w:lang w:val="en-GB"/>
              </w:rPr>
            </w:pPr>
            <w:r>
              <w:rPr>
                <w:rFonts w:ascii="Times New Roman" w:hAnsi="Times New Roman" w:cs="Times New Roman"/>
                <w:b/>
                <w:color w:val="FF0000"/>
                <w:sz w:val="20"/>
                <w:szCs w:val="20"/>
                <w:shd w:val="clear" w:color="auto" w:fill="FFFFFF"/>
                <w:lang w:val="en-GB"/>
              </w:rPr>
              <w:t>TBC</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7C18F0" w:rsidRPr="009C2B15" w:rsidRDefault="00615735" w:rsidP="007B2862">
            <w:pPr>
              <w:rPr>
                <w:rFonts w:ascii="Times New Roman" w:hAnsi="Times New Roman" w:cs="Times New Roman"/>
                <w:b/>
                <w:color w:val="FF0000"/>
                <w:sz w:val="20"/>
                <w:szCs w:val="20"/>
                <w:shd w:val="clear" w:color="auto" w:fill="FFFFFF"/>
                <w:lang w:val="en-GB"/>
              </w:rPr>
            </w:pPr>
            <w:r>
              <w:rPr>
                <w:rFonts w:ascii="Times New Roman" w:hAnsi="Times New Roman" w:cs="Times New Roman"/>
                <w:b/>
                <w:color w:val="FF0000"/>
                <w:sz w:val="20"/>
                <w:szCs w:val="20"/>
                <w:shd w:val="clear" w:color="auto" w:fill="FFFFFF"/>
                <w:lang w:val="en-GB"/>
              </w:rPr>
              <w:t>TBC</w:t>
            </w:r>
          </w:p>
          <w:p w:rsidR="007C18F0" w:rsidRDefault="007C18F0" w:rsidP="007B2862">
            <w:pPr>
              <w:rPr>
                <w:rFonts w:ascii="Times New Roman" w:hAnsi="Times New Roman" w:cs="Times New Roman"/>
                <w:color w:val="333333"/>
                <w:sz w:val="20"/>
                <w:szCs w:val="20"/>
                <w:shd w:val="clear" w:color="auto" w:fill="FFFFFF"/>
                <w:lang w:val="en-GB"/>
              </w:rPr>
            </w:pPr>
          </w:p>
          <w:p w:rsidR="007C18F0" w:rsidRPr="00C7723C" w:rsidRDefault="007C18F0" w:rsidP="007B2862">
            <w:pPr>
              <w:rPr>
                <w:rFonts w:ascii="Times New Roman" w:hAnsi="Times New Roman" w:cs="Times New Roman"/>
                <w:color w:val="333333"/>
                <w:sz w:val="20"/>
                <w:szCs w:val="20"/>
                <w:shd w:val="clear" w:color="auto" w:fill="FFFFFF"/>
                <w:lang w:val="en-GB"/>
              </w:rPr>
            </w:pPr>
            <w:r>
              <w:rPr>
                <w:rFonts w:ascii="Times New Roman" w:hAnsi="Times New Roman" w:cs="Times New Roman"/>
                <w:color w:val="333333"/>
                <w:sz w:val="20"/>
                <w:szCs w:val="20"/>
                <w:shd w:val="clear" w:color="auto" w:fill="FFFFFF"/>
                <w:lang w:val="en-GB"/>
              </w:rPr>
              <w:t>Disaggregated reporting by migratory status (</w:t>
            </w:r>
            <w:r w:rsidRPr="009F5F26">
              <w:rPr>
                <w:rFonts w:ascii="Times New Roman" w:hAnsi="Times New Roman" w:cs="Times New Roman"/>
                <w:i/>
                <w:color w:val="333333"/>
                <w:sz w:val="20"/>
                <w:szCs w:val="20"/>
                <w:shd w:val="clear" w:color="auto" w:fill="FFFFFF"/>
                <w:lang w:val="en-GB"/>
              </w:rPr>
              <w:t>citizenship status</w:t>
            </w:r>
            <w:r>
              <w:rPr>
                <w:rFonts w:ascii="Times New Roman" w:hAnsi="Times New Roman" w:cs="Times New Roman"/>
                <w:color w:val="333333"/>
                <w:sz w:val="20"/>
                <w:szCs w:val="20"/>
                <w:shd w:val="clear" w:color="auto" w:fill="FFFFFF"/>
                <w:lang w:val="en-GB"/>
              </w:rPr>
              <w:t xml:space="preserve"> or </w:t>
            </w:r>
            <w:r w:rsidRPr="009F5F26">
              <w:rPr>
                <w:rFonts w:ascii="Times New Roman" w:hAnsi="Times New Roman" w:cs="Times New Roman"/>
                <w:i/>
                <w:color w:val="333333"/>
                <w:sz w:val="20"/>
                <w:szCs w:val="20"/>
                <w:shd w:val="clear" w:color="auto" w:fill="FFFFFF"/>
                <w:lang w:val="en-GB"/>
              </w:rPr>
              <w:t>nativity status</w:t>
            </w:r>
            <w:r>
              <w:rPr>
                <w:rFonts w:ascii="Times New Roman" w:hAnsi="Times New Roman" w:cs="Times New Roman"/>
                <w:color w:val="333333"/>
                <w:sz w:val="20"/>
                <w:szCs w:val="20"/>
                <w:shd w:val="clear" w:color="auto" w:fill="FFFFFF"/>
                <w:lang w:val="en-GB"/>
              </w:rPr>
              <w:t>)</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Pr>
                <w:rFonts w:ascii="Times New Roman" w:hAnsi="Times New Roman" w:cs="Times New Roman"/>
                <w:color w:val="333333"/>
                <w:sz w:val="20"/>
                <w:szCs w:val="20"/>
                <w:shd w:val="clear" w:color="auto" w:fill="FFFFFF"/>
                <w:lang w:val="en-GB"/>
              </w:rPr>
              <w:t>Labour force surveys, administrative records</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7C18F0" w:rsidRDefault="007C18F0" w:rsidP="007B2862">
            <w:pPr>
              <w:rPr>
                <w:rFonts w:ascii="Times New Roman" w:hAnsi="Times New Roman" w:cs="Times New Roman"/>
                <w:sz w:val="20"/>
                <w:szCs w:val="20"/>
                <w:lang w:val="en-GB"/>
              </w:rPr>
            </w:pPr>
            <w:r w:rsidRPr="00162BA6">
              <w:rPr>
                <w:rFonts w:ascii="Times New Roman" w:hAnsi="Times New Roman" w:cs="Times New Roman"/>
                <w:sz w:val="20"/>
                <w:szCs w:val="20"/>
                <w:lang w:val="en-GB"/>
              </w:rPr>
              <w:t>National Statistical Offices;</w:t>
            </w:r>
            <w:r>
              <w:rPr>
                <w:rFonts w:ascii="Times New Roman" w:hAnsi="Times New Roman" w:cs="Times New Roman"/>
                <w:sz w:val="20"/>
                <w:szCs w:val="20"/>
                <w:lang w:val="en-GB"/>
              </w:rPr>
              <w:t xml:space="preserve"> </w:t>
            </w:r>
            <w:r w:rsidRPr="00162BA6">
              <w:rPr>
                <w:rFonts w:ascii="Times New Roman" w:hAnsi="Times New Roman" w:cs="Times New Roman"/>
                <w:sz w:val="20"/>
                <w:szCs w:val="20"/>
                <w:lang w:val="en-GB"/>
              </w:rPr>
              <w:t>Ministry of Labour</w:t>
            </w:r>
            <w:r>
              <w:rPr>
                <w:rFonts w:ascii="Times New Roman" w:hAnsi="Times New Roman" w:cs="Times New Roman"/>
                <w:sz w:val="20"/>
                <w:szCs w:val="20"/>
                <w:lang w:val="en-GB"/>
              </w:rPr>
              <w:t>, Ministry of Health</w:t>
            </w:r>
          </w:p>
          <w:p w:rsidR="007C18F0" w:rsidRDefault="007C18F0" w:rsidP="007B2862">
            <w:pPr>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sz w:val="20"/>
                <w:szCs w:val="20"/>
                <w:lang w:val="en-GB"/>
              </w:rPr>
              <w:t xml:space="preserve">Much could be covered by introducing new questions into existing surveys, but in some instances new surveys might be needed. </w:t>
            </w:r>
            <w:r>
              <w:rPr>
                <w:rFonts w:ascii="Times New Roman" w:hAnsi="Times New Roman" w:cs="Times New Roman"/>
                <w:sz w:val="20"/>
                <w:szCs w:val="20"/>
                <w:lang w:val="en-GB"/>
              </w:rPr>
              <w:t>Administrative records may need to be adjusted to distinguish between migrants and non-migrants.</w:t>
            </w:r>
          </w:p>
        </w:tc>
      </w:tr>
    </w:tbl>
    <w:p w:rsidR="007C18F0" w:rsidRDefault="007C18F0" w:rsidP="00400AE4">
      <w:pPr>
        <w:rPr>
          <w:rFonts w:ascii="Times New Roman" w:hAnsi="Times New Roman" w:cs="Times New Roman"/>
          <w:sz w:val="20"/>
          <w:szCs w:val="20"/>
          <w:lang w:val="en-GB"/>
        </w:rPr>
      </w:pPr>
    </w:p>
    <w:tbl>
      <w:tblPr>
        <w:tblStyle w:val="TableGrid"/>
        <w:tblW w:w="0" w:type="auto"/>
        <w:tblInd w:w="-34" w:type="dxa"/>
        <w:tblLayout w:type="fixed"/>
        <w:tblLook w:val="04A0" w:firstRow="1" w:lastRow="0" w:firstColumn="1" w:lastColumn="0" w:noHBand="0" w:noVBand="1"/>
      </w:tblPr>
      <w:tblGrid>
        <w:gridCol w:w="1418"/>
        <w:gridCol w:w="7655"/>
      </w:tblGrid>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Indicator</w:t>
            </w:r>
          </w:p>
        </w:tc>
        <w:tc>
          <w:tcPr>
            <w:tcW w:w="7655" w:type="dxa"/>
          </w:tcPr>
          <w:p w:rsidR="00400AE4" w:rsidRPr="00C7723C" w:rsidRDefault="00400AE4" w:rsidP="00400AE4">
            <w:pPr>
              <w:pStyle w:val="ListParagraph"/>
              <w:ind w:left="0"/>
              <w:rPr>
                <w:b/>
                <w:sz w:val="20"/>
                <w:szCs w:val="20"/>
                <w:lang w:val="en-GB"/>
              </w:rPr>
            </w:pPr>
            <w:r>
              <w:rPr>
                <w:b/>
                <w:sz w:val="20"/>
                <w:szCs w:val="20"/>
                <w:lang w:val="en-GB"/>
              </w:rPr>
              <w:t>International Migration</w:t>
            </w:r>
            <w:r w:rsidRPr="00C7723C">
              <w:rPr>
                <w:b/>
                <w:sz w:val="20"/>
                <w:szCs w:val="20"/>
                <w:lang w:val="en-GB"/>
              </w:rPr>
              <w:t xml:space="preserve"> </w:t>
            </w:r>
            <w:r>
              <w:rPr>
                <w:b/>
                <w:sz w:val="20"/>
                <w:szCs w:val="20"/>
                <w:lang w:val="en-GB"/>
              </w:rPr>
              <w:t xml:space="preserve">Policy </w:t>
            </w:r>
            <w:r w:rsidRPr="00C7723C">
              <w:rPr>
                <w:b/>
                <w:sz w:val="20"/>
                <w:szCs w:val="20"/>
                <w:lang w:val="en-GB"/>
              </w:rPr>
              <w:t>Index</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5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400AE4" w:rsidRPr="000D1E49"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55" w:type="dxa"/>
          </w:tcPr>
          <w:p w:rsidR="00400AE4" w:rsidRPr="000D1E49" w:rsidRDefault="00400AE4" w:rsidP="0043719B">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GB"/>
              </w:rPr>
              <w:t>With</w:t>
            </w:r>
            <w:r>
              <w:rPr>
                <w:rFonts w:ascii="Times New Roman" w:hAnsi="Times New Roman" w:cs="Times New Roman"/>
                <w:color w:val="000000" w:themeColor="text1"/>
                <w:sz w:val="20"/>
                <w:szCs w:val="20"/>
              </w:rPr>
              <w:t xml:space="preserve"> target 10.7</w:t>
            </w:r>
            <w:r w:rsidRPr="00C7723C">
              <w:rPr>
                <w:rFonts w:ascii="Times New Roman" w:hAnsi="Times New Roman" w:cs="Times New Roman"/>
                <w:color w:val="000000" w:themeColor="text1"/>
                <w:sz w:val="20"/>
                <w:szCs w:val="20"/>
              </w:rPr>
              <w:t xml:space="preserve"> the OWG has acknowledged the significance of </w:t>
            </w:r>
            <w:r>
              <w:rPr>
                <w:rFonts w:ascii="Times New Roman" w:hAnsi="Times New Roman" w:cs="Times New Roman"/>
                <w:color w:val="000000" w:themeColor="text1"/>
                <w:sz w:val="20"/>
                <w:szCs w:val="20"/>
              </w:rPr>
              <w:t xml:space="preserve">well-managed migration policies for the quality of migration (“orderly, safe, regular and responsible”) which in turn determines development outcomes of migration. </w:t>
            </w:r>
            <w:r w:rsidRPr="00C7723C">
              <w:rPr>
                <w:rFonts w:ascii="Times New Roman" w:hAnsi="Times New Roman" w:cs="Times New Roman"/>
                <w:color w:val="000000" w:themeColor="text1"/>
                <w:sz w:val="20"/>
                <w:szCs w:val="20"/>
              </w:rPr>
              <w:t>This would ensure tha</w:t>
            </w:r>
            <w:r>
              <w:rPr>
                <w:rFonts w:ascii="Times New Roman" w:hAnsi="Times New Roman" w:cs="Times New Roman"/>
                <w:color w:val="000000" w:themeColor="text1"/>
                <w:sz w:val="20"/>
                <w:szCs w:val="20"/>
              </w:rPr>
              <w:t>t migrants are not left behind. Bearing in mind that “w</w:t>
            </w:r>
            <w:r w:rsidRPr="00DA5F1A">
              <w:rPr>
                <w:rFonts w:ascii="Times New Roman" w:hAnsi="Times New Roman" w:cs="Times New Roman"/>
                <w:color w:val="000000" w:themeColor="text1"/>
                <w:sz w:val="20"/>
                <w:szCs w:val="20"/>
              </w:rPr>
              <w:t>ell-managed migration policies” is a multi-dimensional issue</w:t>
            </w:r>
            <w:r>
              <w:rPr>
                <w:rFonts w:ascii="Times New Roman" w:hAnsi="Times New Roman" w:cs="Times New Roman"/>
                <w:color w:val="000000" w:themeColor="text1"/>
                <w:sz w:val="20"/>
                <w:szCs w:val="20"/>
              </w:rPr>
              <w:t>, spanning issues like migrant remittances, circular migration, responses to climate change and crises;</w:t>
            </w:r>
            <w:r w:rsidRPr="00DA5F1A">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a</w:t>
            </w:r>
            <w:r w:rsidRPr="00DA5F1A">
              <w:rPr>
                <w:rFonts w:ascii="Times New Roman" w:hAnsi="Times New Roman" w:cs="Times New Roman"/>
                <w:color w:val="000000" w:themeColor="text1"/>
                <w:sz w:val="20"/>
                <w:szCs w:val="20"/>
              </w:rPr>
              <w:t xml:space="preserve"> composite index </w:t>
            </w:r>
            <w:r>
              <w:rPr>
                <w:rFonts w:ascii="Times New Roman" w:hAnsi="Times New Roman" w:cs="Times New Roman"/>
                <w:color w:val="000000" w:themeColor="text1"/>
                <w:sz w:val="20"/>
                <w:szCs w:val="20"/>
              </w:rPr>
              <w:t>would be the only way to capture progress and to make actionable gap analyses. The</w:t>
            </w:r>
            <w:r w:rsidR="00D978E7">
              <w:rPr>
                <w:rFonts w:ascii="Times New Roman" w:hAnsi="Times New Roman" w:cs="Times New Roman"/>
                <w:color w:val="000000" w:themeColor="text1"/>
                <w:sz w:val="20"/>
                <w:szCs w:val="20"/>
              </w:rPr>
              <w:t xml:space="preserve"> monitoring of the</w:t>
            </w:r>
            <w:r>
              <w:rPr>
                <w:rFonts w:ascii="Times New Roman" w:hAnsi="Times New Roman" w:cs="Times New Roman"/>
                <w:color w:val="000000" w:themeColor="text1"/>
                <w:sz w:val="20"/>
                <w:szCs w:val="20"/>
              </w:rPr>
              <w:t xml:space="preserve"> </w:t>
            </w:r>
            <w:r w:rsidRPr="00C7723C">
              <w:rPr>
                <w:rFonts w:ascii="Times New Roman" w:hAnsi="Times New Roman" w:cs="Times New Roman"/>
                <w:color w:val="000000" w:themeColor="text1"/>
                <w:sz w:val="20"/>
                <w:szCs w:val="20"/>
              </w:rPr>
              <w:t xml:space="preserve">commitment </w:t>
            </w:r>
            <w:r>
              <w:rPr>
                <w:rFonts w:ascii="Times New Roman" w:hAnsi="Times New Roman" w:cs="Times New Roman"/>
                <w:color w:val="000000" w:themeColor="text1"/>
                <w:sz w:val="20"/>
                <w:szCs w:val="20"/>
              </w:rPr>
              <w:t xml:space="preserve">to “well-managed migration policies” </w:t>
            </w:r>
            <w:r w:rsidR="0043719B">
              <w:rPr>
                <w:rFonts w:ascii="Times New Roman" w:hAnsi="Times New Roman" w:cs="Times New Roman"/>
                <w:color w:val="000000" w:themeColor="text1"/>
                <w:sz w:val="20"/>
                <w:szCs w:val="20"/>
              </w:rPr>
              <w:t>through a composite index would enable to bring together the already existing broad range of sources on migration policy such as</w:t>
            </w:r>
            <w:r>
              <w:rPr>
                <w:rFonts w:ascii="Times New Roman" w:hAnsi="Times New Roman" w:cs="Times New Roman"/>
                <w:color w:val="000000" w:themeColor="text1"/>
                <w:sz w:val="20"/>
                <w:szCs w:val="20"/>
              </w:rPr>
              <w:t xml:space="preserve"> follow-up mechanisms of international conventions and protocols related to international migration</w:t>
            </w:r>
            <w:r>
              <w:rPr>
                <w:rStyle w:val="FootnoteReference"/>
                <w:rFonts w:ascii="Times New Roman" w:hAnsi="Times New Roman" w:cs="Times New Roman"/>
                <w:color w:val="000000" w:themeColor="text1"/>
                <w:sz w:val="20"/>
                <w:szCs w:val="20"/>
              </w:rPr>
              <w:footnoteReference w:id="1"/>
            </w:r>
            <w:r>
              <w:rPr>
                <w:rFonts w:ascii="Times New Roman" w:hAnsi="Times New Roman" w:cs="Times New Roman"/>
                <w:color w:val="000000" w:themeColor="text1"/>
                <w:sz w:val="20"/>
                <w:szCs w:val="20"/>
              </w:rPr>
              <w:t xml:space="preserve"> as well as elements captured in the outcome documents from the deliberations in the 2</w:t>
            </w:r>
            <w:r w:rsidRPr="00FB4809">
              <w:rPr>
                <w:rFonts w:ascii="Times New Roman" w:hAnsi="Times New Roman" w:cs="Times New Roman"/>
                <w:color w:val="000000" w:themeColor="text1"/>
                <w:sz w:val="20"/>
                <w:szCs w:val="20"/>
                <w:vertAlign w:val="superscript"/>
              </w:rPr>
              <w:t>nd</w:t>
            </w:r>
            <w:r>
              <w:rPr>
                <w:rFonts w:ascii="Times New Roman" w:hAnsi="Times New Roman" w:cs="Times New Roman"/>
                <w:color w:val="000000" w:themeColor="text1"/>
                <w:sz w:val="20"/>
                <w:szCs w:val="20"/>
              </w:rPr>
              <w:t xml:space="preserve"> </w:t>
            </w:r>
            <w:r w:rsidR="00FA122A">
              <w:rPr>
                <w:rFonts w:ascii="Times New Roman" w:hAnsi="Times New Roman" w:cs="Times New Roman"/>
                <w:color w:val="000000" w:themeColor="text1"/>
                <w:sz w:val="20"/>
                <w:szCs w:val="20"/>
              </w:rPr>
              <w:t>and 3</w:t>
            </w:r>
            <w:r w:rsidR="00FA122A" w:rsidRPr="00615735">
              <w:rPr>
                <w:rFonts w:ascii="Times New Roman" w:hAnsi="Times New Roman" w:cs="Times New Roman"/>
                <w:color w:val="000000" w:themeColor="text1"/>
                <w:sz w:val="20"/>
                <w:szCs w:val="20"/>
                <w:vertAlign w:val="superscript"/>
              </w:rPr>
              <w:t>rd</w:t>
            </w:r>
            <w:r w:rsidR="00FA122A">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Committee</w:t>
            </w:r>
            <w:r w:rsidR="00FA122A">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of the General Assembly, the High-level Dialogues on International Migration and Development, the Commission on Population and Development</w:t>
            </w:r>
            <w:r w:rsidR="0043719B">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00FA122A">
              <w:rPr>
                <w:rFonts w:ascii="Times New Roman" w:hAnsi="Times New Roman" w:cs="Times New Roman"/>
                <w:color w:val="000000" w:themeColor="text1"/>
                <w:sz w:val="20"/>
                <w:szCs w:val="20"/>
              </w:rPr>
              <w:t xml:space="preserve">the Human Rights Council, </w:t>
            </w:r>
            <w:r>
              <w:rPr>
                <w:rFonts w:ascii="Times New Roman" w:hAnsi="Times New Roman" w:cs="Times New Roman"/>
                <w:color w:val="000000" w:themeColor="text1"/>
                <w:sz w:val="20"/>
                <w:szCs w:val="20"/>
              </w:rPr>
              <w:t xml:space="preserve">the </w:t>
            </w:r>
            <w:hyperlink r:id="rId9" w:history="1">
              <w:r w:rsidRPr="00A62D94">
                <w:rPr>
                  <w:rStyle w:val="Hyperlink"/>
                  <w:rFonts w:ascii="Times New Roman" w:hAnsi="Times New Roman" w:cs="Times New Roman"/>
                  <w:sz w:val="20"/>
                  <w:szCs w:val="20"/>
                </w:rPr>
                <w:t>Global Forum on Migration and Development</w:t>
              </w:r>
            </w:hyperlink>
            <w:r>
              <w:rPr>
                <w:rFonts w:ascii="Times New Roman" w:hAnsi="Times New Roman" w:cs="Times New Roman"/>
                <w:color w:val="000000" w:themeColor="text1"/>
                <w:sz w:val="20"/>
                <w:szCs w:val="20"/>
              </w:rPr>
              <w:t xml:space="preserve"> and IOM Council.</w:t>
            </w:r>
          </w:p>
        </w:tc>
      </w:tr>
      <w:tr w:rsidR="00400AE4" w:rsidRPr="003C60CF"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Method of computation </w:t>
            </w:r>
          </w:p>
          <w:p w:rsidR="00400AE4" w:rsidRPr="00C7723C"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color w:val="333333"/>
                <w:sz w:val="20"/>
                <w:szCs w:val="20"/>
                <w:shd w:val="clear" w:color="auto" w:fill="FFFFFF"/>
                <w:lang w:val="en-GB"/>
              </w:rPr>
            </w:pPr>
          </w:p>
        </w:tc>
        <w:tc>
          <w:tcPr>
            <w:tcW w:w="7655" w:type="dxa"/>
          </w:tcPr>
          <w:p w:rsidR="00400AE4" w:rsidRDefault="00400AE4" w:rsidP="00400AE4">
            <w:p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International Migration Policy Index </w:t>
            </w:r>
            <w:r w:rsidRPr="000D1E49">
              <w:rPr>
                <w:rFonts w:ascii="Times New Roman" w:hAnsi="Times New Roman" w:cs="Times New Roman"/>
                <w:bCs/>
                <w:sz w:val="20"/>
                <w:szCs w:val="20"/>
                <w:lang w:val="en-GB"/>
              </w:rPr>
              <w:t xml:space="preserve">would </w:t>
            </w:r>
            <w:r>
              <w:rPr>
                <w:rFonts w:ascii="Times New Roman" w:hAnsi="Times New Roman" w:cs="Times New Roman"/>
                <w:bCs/>
                <w:sz w:val="20"/>
                <w:szCs w:val="20"/>
                <w:lang w:val="en-GB"/>
              </w:rPr>
              <w:t xml:space="preserve">track development and identify gaps </w:t>
            </w:r>
            <w:r w:rsidRPr="000D1E49">
              <w:rPr>
                <w:rFonts w:ascii="Times New Roman" w:hAnsi="Times New Roman" w:cs="Times New Roman"/>
                <w:bCs/>
                <w:sz w:val="20"/>
                <w:szCs w:val="20"/>
                <w:lang w:val="en-GB"/>
              </w:rPr>
              <w:t>through aggregation of reporting on migration policies relevant for the SDG framework.</w:t>
            </w:r>
            <w:r>
              <w:rPr>
                <w:rFonts w:ascii="Times New Roman" w:hAnsi="Times New Roman" w:cs="Times New Roman"/>
                <w:bCs/>
                <w:sz w:val="20"/>
                <w:szCs w:val="20"/>
                <w:lang w:val="en-GB"/>
              </w:rPr>
              <w:t xml:space="preserve"> The aggregation of constituent </w:t>
            </w:r>
            <w:r w:rsidR="00D978E7">
              <w:rPr>
                <w:rFonts w:ascii="Times New Roman" w:hAnsi="Times New Roman" w:cs="Times New Roman"/>
                <w:bCs/>
                <w:sz w:val="20"/>
                <w:szCs w:val="20"/>
                <w:lang w:val="en-GB"/>
              </w:rPr>
              <w:t>items</w:t>
            </w:r>
            <w:r>
              <w:rPr>
                <w:rFonts w:ascii="Times New Roman" w:hAnsi="Times New Roman" w:cs="Times New Roman"/>
                <w:bCs/>
                <w:sz w:val="20"/>
                <w:szCs w:val="20"/>
                <w:lang w:val="en-GB"/>
              </w:rPr>
              <w:t xml:space="preserve"> of “well-managed migration policies” will be based on existing regional and thematic migration policy indexes </w:t>
            </w:r>
            <w:r w:rsidR="00D978E7">
              <w:rPr>
                <w:rFonts w:ascii="Times New Roman" w:hAnsi="Times New Roman" w:cs="Times New Roman"/>
                <w:bCs/>
                <w:sz w:val="20"/>
                <w:szCs w:val="20"/>
                <w:lang w:val="en-GB"/>
              </w:rPr>
              <w:t>and</w:t>
            </w:r>
            <w:r>
              <w:rPr>
                <w:rFonts w:ascii="Times New Roman" w:hAnsi="Times New Roman" w:cs="Times New Roman"/>
                <w:bCs/>
                <w:sz w:val="20"/>
                <w:szCs w:val="20"/>
                <w:lang w:val="en-GB"/>
              </w:rPr>
              <w:t xml:space="preserve"> state of the art methodology on conceptualizing and measuring migration policies </w:t>
            </w:r>
            <w:r>
              <w:rPr>
                <w:rFonts w:ascii="Times New Roman" w:hAnsi="Times New Roman" w:cs="Times New Roman"/>
                <w:sz w:val="20"/>
                <w:szCs w:val="20"/>
                <w:lang w:val="en-GB"/>
              </w:rPr>
              <w:t>(</w:t>
            </w:r>
            <w:proofErr w:type="spellStart"/>
            <w:r w:rsidR="00723A38">
              <w:fldChar w:fldCharType="begin"/>
            </w:r>
            <w:r w:rsidR="00723A38">
              <w:instrText xml:space="preserve"> HYPERLINK "https://bluejeans.com/706348641/browser?name=Lars+Johan" </w:instrText>
            </w:r>
            <w:r w:rsidR="00723A38">
              <w:fldChar w:fldCharType="separate"/>
            </w:r>
            <w:r w:rsidRPr="00A62D94">
              <w:rPr>
                <w:rStyle w:val="Hyperlink"/>
                <w:rFonts w:ascii="Times New Roman" w:hAnsi="Times New Roman" w:cs="Times New Roman"/>
                <w:sz w:val="20"/>
                <w:szCs w:val="20"/>
                <w:lang w:val="en-GB"/>
              </w:rPr>
              <w:t>Bjerre</w:t>
            </w:r>
            <w:proofErr w:type="spellEnd"/>
            <w:r w:rsidRPr="00A62D94">
              <w:rPr>
                <w:rStyle w:val="Hyperlink"/>
                <w:rFonts w:ascii="Times New Roman" w:hAnsi="Times New Roman" w:cs="Times New Roman"/>
                <w:sz w:val="20"/>
                <w:szCs w:val="20"/>
                <w:lang w:val="en-GB"/>
              </w:rPr>
              <w:t xml:space="preserve"> et. al 2015</w:t>
            </w:r>
            <w:r w:rsidR="00723A38">
              <w:rPr>
                <w:rStyle w:val="Hyperlink"/>
                <w:rFonts w:ascii="Times New Roman" w:hAnsi="Times New Roman" w:cs="Times New Roman"/>
                <w:sz w:val="20"/>
                <w:szCs w:val="20"/>
                <w:lang w:val="en-GB"/>
              </w:rPr>
              <w:fldChar w:fldCharType="end"/>
            </w:r>
            <w:r>
              <w:rPr>
                <w:rFonts w:ascii="Times New Roman" w:hAnsi="Times New Roman" w:cs="Times New Roman"/>
                <w:sz w:val="20"/>
                <w:szCs w:val="20"/>
                <w:lang w:val="en-GB"/>
              </w:rPr>
              <w:t>)</w:t>
            </w:r>
            <w:r>
              <w:rPr>
                <w:rFonts w:ascii="Times New Roman" w:hAnsi="Times New Roman" w:cs="Times New Roman"/>
                <w:bCs/>
                <w:sz w:val="20"/>
                <w:szCs w:val="20"/>
                <w:lang w:val="en-GB"/>
              </w:rPr>
              <w:t>. Current work points toward the index tracking status regarding the following migration policy strands:</w:t>
            </w:r>
          </w:p>
          <w:p w:rsidR="00400AE4" w:rsidRPr="00FD04F2" w:rsidRDefault="00FA122A" w:rsidP="00400AE4">
            <w:pPr>
              <w:pStyle w:val="ListParagraph"/>
              <w:numPr>
                <w:ilvl w:val="0"/>
                <w:numId w:val="4"/>
              </w:numPr>
              <w:rPr>
                <w:bCs/>
                <w:sz w:val="20"/>
                <w:szCs w:val="20"/>
              </w:rPr>
            </w:pPr>
            <w:r>
              <w:rPr>
                <w:bCs/>
                <w:sz w:val="20"/>
                <w:szCs w:val="20"/>
              </w:rPr>
              <w:t>Promoting and protecting the h</w:t>
            </w:r>
            <w:r w:rsidR="00400AE4" w:rsidRPr="00FD04F2">
              <w:rPr>
                <w:bCs/>
                <w:sz w:val="20"/>
                <w:szCs w:val="20"/>
              </w:rPr>
              <w:t>uman right</w:t>
            </w:r>
            <w:r w:rsidR="00400AE4">
              <w:rPr>
                <w:bCs/>
                <w:sz w:val="20"/>
                <w:szCs w:val="20"/>
              </w:rPr>
              <w:t>s</w:t>
            </w:r>
            <w:r w:rsidR="009568D0">
              <w:rPr>
                <w:bCs/>
                <w:sz w:val="20"/>
                <w:szCs w:val="20"/>
              </w:rPr>
              <w:t xml:space="preserve"> of migrants</w:t>
            </w:r>
          </w:p>
          <w:p w:rsidR="00400AE4" w:rsidRPr="00FD04F2" w:rsidRDefault="00400AE4" w:rsidP="00400AE4">
            <w:pPr>
              <w:pStyle w:val="ListParagraph"/>
              <w:numPr>
                <w:ilvl w:val="0"/>
                <w:numId w:val="4"/>
              </w:numPr>
              <w:rPr>
                <w:bCs/>
                <w:sz w:val="20"/>
                <w:szCs w:val="20"/>
              </w:rPr>
            </w:pPr>
            <w:r>
              <w:rPr>
                <w:bCs/>
                <w:sz w:val="20"/>
                <w:szCs w:val="20"/>
              </w:rPr>
              <w:t>Supporting s</w:t>
            </w:r>
            <w:r w:rsidRPr="00FD04F2">
              <w:rPr>
                <w:bCs/>
                <w:sz w:val="20"/>
                <w:szCs w:val="20"/>
              </w:rPr>
              <w:t xml:space="preserve">ocio-economic </w:t>
            </w:r>
            <w:r>
              <w:rPr>
                <w:bCs/>
                <w:sz w:val="20"/>
                <w:szCs w:val="20"/>
              </w:rPr>
              <w:t>outcome</w:t>
            </w:r>
          </w:p>
          <w:p w:rsidR="00400AE4" w:rsidRDefault="00400AE4" w:rsidP="00400AE4">
            <w:pPr>
              <w:pStyle w:val="ListParagraph"/>
              <w:numPr>
                <w:ilvl w:val="0"/>
                <w:numId w:val="4"/>
              </w:numPr>
              <w:rPr>
                <w:bCs/>
                <w:sz w:val="20"/>
                <w:szCs w:val="20"/>
              </w:rPr>
            </w:pPr>
            <w:r>
              <w:rPr>
                <w:bCs/>
                <w:sz w:val="20"/>
                <w:szCs w:val="20"/>
              </w:rPr>
              <w:t>Supporting regulated m</w:t>
            </w:r>
            <w:r w:rsidRPr="00FD04F2">
              <w:rPr>
                <w:bCs/>
                <w:sz w:val="20"/>
                <w:szCs w:val="20"/>
              </w:rPr>
              <w:t>obility</w:t>
            </w:r>
          </w:p>
          <w:p w:rsidR="00400AE4" w:rsidRDefault="00400AE4" w:rsidP="00400AE4">
            <w:pPr>
              <w:pStyle w:val="ListParagraph"/>
              <w:numPr>
                <w:ilvl w:val="0"/>
                <w:numId w:val="4"/>
              </w:numPr>
              <w:rPr>
                <w:bCs/>
                <w:sz w:val="20"/>
                <w:szCs w:val="20"/>
              </w:rPr>
            </w:pPr>
            <w:r>
              <w:rPr>
                <w:bCs/>
                <w:sz w:val="20"/>
                <w:szCs w:val="20"/>
              </w:rPr>
              <w:t>Mobility dimensions of crisis</w:t>
            </w:r>
          </w:p>
          <w:p w:rsidR="00400AE4" w:rsidRDefault="00400AE4" w:rsidP="00400AE4">
            <w:pPr>
              <w:pStyle w:val="ListParagraph"/>
              <w:numPr>
                <w:ilvl w:val="0"/>
                <w:numId w:val="4"/>
              </w:numPr>
              <w:rPr>
                <w:bCs/>
                <w:sz w:val="20"/>
                <w:szCs w:val="20"/>
              </w:rPr>
            </w:pPr>
            <w:r>
              <w:rPr>
                <w:bCs/>
                <w:sz w:val="20"/>
                <w:szCs w:val="20"/>
              </w:rPr>
              <w:t>Partnerships and cooperation</w:t>
            </w:r>
          </w:p>
          <w:p w:rsidR="009568D0" w:rsidRDefault="009568D0" w:rsidP="009568D0">
            <w:pPr>
              <w:rPr>
                <w:rFonts w:ascii="Times New Roman" w:hAnsi="Times New Roman" w:cs="Times New Roman"/>
                <w:color w:val="333333"/>
                <w:sz w:val="20"/>
                <w:szCs w:val="20"/>
                <w:shd w:val="clear" w:color="auto" w:fill="FFFFFF"/>
              </w:rPr>
            </w:pPr>
          </w:p>
          <w:p w:rsidR="009568D0" w:rsidRPr="009568D0" w:rsidRDefault="009568D0" w:rsidP="009568D0">
            <w:pPr>
              <w:rPr>
                <w:bCs/>
                <w:sz w:val="20"/>
                <w:szCs w:val="20"/>
              </w:rPr>
            </w:pPr>
            <w:r>
              <w:rPr>
                <w:rFonts w:ascii="Times New Roman" w:hAnsi="Times New Roman" w:cs="Times New Roman"/>
                <w:color w:val="333333"/>
                <w:sz w:val="20"/>
                <w:szCs w:val="20"/>
                <w:shd w:val="clear" w:color="auto" w:fill="FFFFFF"/>
              </w:rPr>
              <w:t>C</w:t>
            </w:r>
            <w:r w:rsidRPr="00D86ABB">
              <w:rPr>
                <w:rFonts w:ascii="Times New Roman" w:hAnsi="Times New Roman" w:cs="Times New Roman"/>
                <w:color w:val="333333"/>
                <w:sz w:val="20"/>
                <w:szCs w:val="20"/>
                <w:shd w:val="clear" w:color="auto" w:fill="FFFFFF"/>
              </w:rPr>
              <w:t xml:space="preserve">omputation would be based on a three-tier-scale, e.g. </w:t>
            </w:r>
            <w:r w:rsidRPr="00D86ABB">
              <w:rPr>
                <w:rFonts w:ascii="Times New Roman" w:hAnsi="Times New Roman" w:cs="Times New Roman"/>
                <w:i/>
                <w:iCs/>
                <w:color w:val="333333"/>
                <w:sz w:val="20"/>
                <w:szCs w:val="20"/>
                <w:shd w:val="clear" w:color="auto" w:fill="FFFFFF"/>
              </w:rPr>
              <w:t>100 = comprehensive; 50 = elaborated; 0 = basic</w:t>
            </w:r>
            <w:r w:rsidRPr="00D86ABB">
              <w:rPr>
                <w:rFonts w:ascii="Times New Roman" w:hAnsi="Times New Roman" w:cs="Times New Roman"/>
                <w:iCs/>
                <w:color w:val="333333"/>
                <w:sz w:val="20"/>
                <w:szCs w:val="20"/>
                <w:shd w:val="clear" w:color="auto" w:fill="FFFFFF"/>
              </w:rPr>
              <w:t xml:space="preserve"> </w:t>
            </w:r>
            <w:r w:rsidRPr="00D86ABB">
              <w:rPr>
                <w:rFonts w:ascii="Times New Roman" w:hAnsi="Times New Roman" w:cs="Times New Roman"/>
                <w:color w:val="333333"/>
                <w:sz w:val="20"/>
                <w:szCs w:val="20"/>
                <w:shd w:val="clear" w:color="auto" w:fill="FFFFFF"/>
              </w:rPr>
              <w:t>level of implementation; or 100 = 100%-90%; 50 = 89%-40%; 0 = 39% and below for proportion of coverage etc</w:t>
            </w:r>
            <w:r>
              <w:rPr>
                <w:rFonts w:ascii="Times New Roman" w:hAnsi="Times New Roman" w:cs="Times New Roman"/>
                <w:color w:val="333333"/>
                <w:sz w:val="20"/>
                <w:szCs w:val="20"/>
                <w:shd w:val="clear" w:color="auto" w:fill="FFFFFF"/>
              </w:rPr>
              <w:t>.</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55" w:type="dxa"/>
          </w:tcPr>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Government agencies</w:t>
            </w:r>
            <w:r w:rsidR="00615735">
              <w:rPr>
                <w:rFonts w:ascii="Times New Roman" w:hAnsi="Times New Roman" w:cs="Times New Roman"/>
                <w:sz w:val="20"/>
                <w:szCs w:val="20"/>
                <w:lang w:val="en-GB"/>
              </w:rPr>
              <w:t>, including reporting to follow-up mechanisms of relevant human rights instruments.</w:t>
            </w:r>
          </w:p>
          <w:p w:rsidR="00400AE4" w:rsidRDefault="00723A38" w:rsidP="00400AE4">
            <w:pPr>
              <w:rPr>
                <w:rFonts w:ascii="Times New Roman" w:hAnsi="Times New Roman" w:cs="Times New Roman"/>
                <w:sz w:val="20"/>
                <w:szCs w:val="20"/>
                <w:lang w:val="en-GB"/>
              </w:rPr>
            </w:pPr>
            <w:hyperlink r:id="rId10" w:history="1">
              <w:r w:rsidR="00400AE4" w:rsidRPr="00656BEB">
                <w:rPr>
                  <w:rStyle w:val="Hyperlink"/>
                  <w:rFonts w:ascii="Times New Roman" w:hAnsi="Times New Roman" w:cs="Times New Roman"/>
                  <w:sz w:val="20"/>
                  <w:szCs w:val="20"/>
                  <w:lang w:val="en-GB"/>
                </w:rPr>
                <w:t>The United Nations Inquiry among Governments on Population and Development</w:t>
              </w:r>
            </w:hyperlink>
            <w:r w:rsidR="00400AE4">
              <w:rPr>
                <w:rFonts w:ascii="Times New Roman" w:hAnsi="Times New Roman" w:cs="Times New Roman"/>
                <w:sz w:val="20"/>
                <w:szCs w:val="20"/>
                <w:lang w:val="en-GB"/>
              </w:rPr>
              <w:t xml:space="preserve">, collected every 5 years since 1963, and the associated </w:t>
            </w:r>
            <w:hyperlink r:id="rId11" w:history="1">
              <w:r w:rsidR="00400AE4" w:rsidRPr="00725460">
                <w:rPr>
                  <w:rStyle w:val="Hyperlink"/>
                  <w:rFonts w:ascii="Times New Roman" w:hAnsi="Times New Roman" w:cs="Times New Roman"/>
                  <w:sz w:val="20"/>
                  <w:szCs w:val="20"/>
                  <w:lang w:val="en-GB"/>
                </w:rPr>
                <w:t>World Population Policies Database</w:t>
              </w:r>
            </w:hyperlink>
            <w:r w:rsidR="00400AE4">
              <w:rPr>
                <w:rFonts w:ascii="Times New Roman" w:hAnsi="Times New Roman" w:cs="Times New Roman"/>
                <w:sz w:val="20"/>
                <w:szCs w:val="20"/>
                <w:lang w:val="en-GB"/>
              </w:rPr>
              <w:t xml:space="preserve"> and </w:t>
            </w:r>
            <w:hyperlink r:id="rId12" w:history="1">
              <w:r w:rsidR="00400AE4" w:rsidRPr="00656BEB">
                <w:rPr>
                  <w:rStyle w:val="Hyperlink"/>
                  <w:rFonts w:ascii="Times New Roman" w:hAnsi="Times New Roman" w:cs="Times New Roman"/>
                  <w:sz w:val="20"/>
                  <w:szCs w:val="20"/>
                  <w:lang w:val="en-GB"/>
                </w:rPr>
                <w:t>World Population Report</w:t>
              </w:r>
            </w:hyperlink>
            <w:r w:rsidR="00400AE4">
              <w:rPr>
                <w:rFonts w:ascii="Times New Roman" w:hAnsi="Times New Roman" w:cs="Times New Roman"/>
                <w:sz w:val="20"/>
                <w:szCs w:val="20"/>
                <w:lang w:val="en-GB"/>
              </w:rPr>
              <w:t>, which has data on migration policy dating back to 1976, which currently puts out data covering 196 countries on a biannual basis.</w:t>
            </w:r>
          </w:p>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83 countries covered by either thematic or regional migration policy indexes (</w:t>
            </w:r>
            <w:r w:rsidRPr="005C314D">
              <w:rPr>
                <w:rFonts w:ascii="Times New Roman" w:hAnsi="Times New Roman" w:cs="Times New Roman"/>
                <w:i/>
                <w:sz w:val="20"/>
                <w:szCs w:val="20"/>
                <w:lang w:val="en-GB"/>
              </w:rPr>
              <w:t xml:space="preserve">cf. </w:t>
            </w:r>
            <w:proofErr w:type="spellStart"/>
            <w:r w:rsidRPr="005C314D">
              <w:rPr>
                <w:rFonts w:ascii="Times New Roman" w:hAnsi="Times New Roman" w:cs="Times New Roman"/>
                <w:i/>
                <w:sz w:val="20"/>
                <w:szCs w:val="20"/>
                <w:lang w:val="en-GB"/>
              </w:rPr>
              <w:t>Bjerre</w:t>
            </w:r>
            <w:proofErr w:type="spellEnd"/>
            <w:r w:rsidRPr="005C314D">
              <w:rPr>
                <w:rFonts w:ascii="Times New Roman" w:hAnsi="Times New Roman" w:cs="Times New Roman"/>
                <w:i/>
                <w:sz w:val="20"/>
                <w:szCs w:val="20"/>
                <w:lang w:val="en-GB"/>
              </w:rPr>
              <w:t xml:space="preserve"> supra</w:t>
            </w:r>
            <w:r>
              <w:rPr>
                <w:rFonts w:ascii="Times New Roman" w:hAnsi="Times New Roman" w:cs="Times New Roman"/>
                <w:sz w:val="20"/>
                <w:szCs w:val="20"/>
                <w:lang w:val="en-GB"/>
              </w:rPr>
              <w:t>)</w:t>
            </w:r>
          </w:p>
          <w:p w:rsidR="00400AE4" w:rsidRPr="00C7723C"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171 countries’ migration policies covered by </w:t>
            </w:r>
            <w:hyperlink r:id="rId13" w:history="1">
              <w:r w:rsidRPr="00A62D94">
                <w:rPr>
                  <w:rStyle w:val="Hyperlink"/>
                  <w:rFonts w:ascii="Times New Roman" w:hAnsi="Times New Roman" w:cs="Times New Roman"/>
                  <w:sz w:val="20"/>
                  <w:szCs w:val="20"/>
                  <w:lang w:val="en-GB"/>
                </w:rPr>
                <w:t>Migration Profiles</w:t>
              </w:r>
            </w:hyperlink>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55" w:type="dxa"/>
          </w:tcPr>
          <w:p w:rsidR="00400AE4" w:rsidRPr="00C7723C" w:rsidRDefault="00306EF8" w:rsidP="00306EF8">
            <w:pPr>
              <w:rPr>
                <w:rFonts w:ascii="Times New Roman" w:hAnsi="Times New Roman" w:cs="Times New Roman"/>
                <w:sz w:val="20"/>
                <w:szCs w:val="20"/>
                <w:lang w:val="en-GB"/>
              </w:rPr>
            </w:pPr>
            <w:r>
              <w:rPr>
                <w:rFonts w:ascii="Times New Roman" w:hAnsi="Times New Roman" w:cs="Times New Roman"/>
                <w:sz w:val="20"/>
                <w:szCs w:val="20"/>
                <w:lang w:val="en-GB"/>
              </w:rPr>
              <w:t xml:space="preserve">Collective effort by members of the </w:t>
            </w:r>
            <w:r w:rsidR="00400AE4">
              <w:rPr>
                <w:rFonts w:ascii="Times New Roman" w:hAnsi="Times New Roman" w:cs="Times New Roman"/>
                <w:sz w:val="20"/>
                <w:szCs w:val="20"/>
                <w:lang w:val="en-GB"/>
              </w:rPr>
              <w:t>Global Migration Group, supported by national governments and statistical agencies</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55" w:type="dxa"/>
          </w:tcPr>
          <w:p w:rsidR="00400AE4" w:rsidRPr="00C7723C" w:rsidRDefault="00400AE4" w:rsidP="00400AE4">
            <w:pPr>
              <w:rPr>
                <w:rFonts w:ascii="Times New Roman" w:hAnsi="Times New Roman" w:cs="Times New Roman"/>
                <w:sz w:val="20"/>
                <w:szCs w:val="20"/>
              </w:rPr>
            </w:pPr>
            <w:r>
              <w:rPr>
                <w:rFonts w:ascii="Times New Roman" w:hAnsi="Times New Roman" w:cs="Times New Roman"/>
                <w:sz w:val="20"/>
                <w:szCs w:val="20"/>
              </w:rPr>
              <w:t xml:space="preserve">This could be a </w:t>
            </w:r>
            <w:r w:rsidRPr="005E0C5A">
              <w:rPr>
                <w:rFonts w:ascii="Times New Roman" w:hAnsi="Times New Roman" w:cs="Times New Roman"/>
                <w:sz w:val="20"/>
                <w:szCs w:val="20"/>
              </w:rPr>
              <w:t>"multi-purpose indicator" for 5.2/16.2, 8.8, 10.7 and 16.1.</w:t>
            </w:r>
          </w:p>
        </w:tc>
      </w:tr>
      <w:tr w:rsidR="00400AE4" w:rsidRPr="005E0C5A"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55" w:type="dxa"/>
          </w:tcPr>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There exist already 13 migration policy indexes that either are limited to certain themes of migration policy (e.g. integration or “migrant accessibility”) or cover certain regions (e.g. OECD countries). The International Migration Policy Index </w:t>
            </w:r>
            <w:r w:rsidR="007B2862">
              <w:rPr>
                <w:rFonts w:ascii="Times New Roman" w:hAnsi="Times New Roman" w:cs="Times New Roman"/>
                <w:sz w:val="20"/>
                <w:szCs w:val="20"/>
                <w:lang w:val="en-GB"/>
              </w:rPr>
              <w:t>w</w:t>
            </w:r>
            <w:r w:rsidR="004347C5">
              <w:rPr>
                <w:rFonts w:ascii="Times New Roman" w:hAnsi="Times New Roman" w:cs="Times New Roman"/>
                <w:sz w:val="20"/>
                <w:szCs w:val="20"/>
                <w:lang w:val="en-GB"/>
              </w:rPr>
              <w:t>ill</w:t>
            </w:r>
            <w:r w:rsidR="00DE5561">
              <w:rPr>
                <w:rFonts w:ascii="Times New Roman" w:hAnsi="Times New Roman" w:cs="Times New Roman"/>
                <w:sz w:val="20"/>
                <w:szCs w:val="20"/>
                <w:lang w:val="en-GB"/>
              </w:rPr>
              <w:t xml:space="preserve"> </w:t>
            </w:r>
            <w:r>
              <w:rPr>
                <w:rFonts w:ascii="Times New Roman" w:hAnsi="Times New Roman" w:cs="Times New Roman"/>
                <w:sz w:val="20"/>
                <w:szCs w:val="20"/>
                <w:lang w:val="en-GB"/>
              </w:rPr>
              <w:t>be the first global index intended to cover all major asp</w:t>
            </w:r>
            <w:r w:rsidR="007B2862">
              <w:rPr>
                <w:rFonts w:ascii="Times New Roman" w:hAnsi="Times New Roman" w:cs="Times New Roman"/>
                <w:sz w:val="20"/>
                <w:szCs w:val="20"/>
                <w:lang w:val="en-GB"/>
              </w:rPr>
              <w:t xml:space="preserve">ects of migration policy output. Efforts are </w:t>
            </w:r>
            <w:r>
              <w:rPr>
                <w:rFonts w:ascii="Times New Roman" w:hAnsi="Times New Roman" w:cs="Times New Roman"/>
                <w:sz w:val="20"/>
                <w:szCs w:val="20"/>
                <w:lang w:val="en-GB"/>
              </w:rPr>
              <w:t xml:space="preserve">currently under </w:t>
            </w:r>
            <w:r w:rsidR="007B2862">
              <w:rPr>
                <w:rFonts w:ascii="Times New Roman" w:hAnsi="Times New Roman" w:cs="Times New Roman"/>
                <w:sz w:val="20"/>
                <w:szCs w:val="20"/>
                <w:lang w:val="en-GB"/>
              </w:rPr>
              <w:t xml:space="preserve">way, and </w:t>
            </w:r>
            <w:r w:rsidR="004347C5">
              <w:rPr>
                <w:rFonts w:ascii="Times New Roman" w:hAnsi="Times New Roman" w:cs="Times New Roman"/>
                <w:sz w:val="20"/>
                <w:szCs w:val="20"/>
                <w:lang w:val="en-GB"/>
              </w:rPr>
              <w:t>broad consultations with stakeholders will be held, including through the Global Forum on Migration and Development as well as the IOM Council</w:t>
            </w:r>
            <w:r>
              <w:rPr>
                <w:rFonts w:ascii="Times New Roman" w:hAnsi="Times New Roman" w:cs="Times New Roman"/>
                <w:sz w:val="20"/>
                <w:szCs w:val="20"/>
                <w:lang w:val="en-GB"/>
              </w:rPr>
              <w:t>.</w:t>
            </w:r>
          </w:p>
          <w:p w:rsidR="00400AE4" w:rsidRDefault="00400AE4" w:rsidP="00400AE4">
            <w:pPr>
              <w:rPr>
                <w:rFonts w:ascii="Times New Roman" w:hAnsi="Times New Roman" w:cs="Times New Roman"/>
                <w:sz w:val="20"/>
                <w:szCs w:val="20"/>
                <w:lang w:val="en-GB"/>
              </w:rPr>
            </w:pPr>
          </w:p>
          <w:p w:rsidR="00400AE4" w:rsidRPr="005E0C5A"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The index </w:t>
            </w:r>
            <w:r w:rsidRPr="008D1A6F">
              <w:rPr>
                <w:rFonts w:ascii="Times New Roman" w:hAnsi="Times New Roman" w:cs="Times New Roman"/>
                <w:sz w:val="20"/>
                <w:szCs w:val="20"/>
                <w:u w:val="single"/>
                <w:lang w:val="en-GB"/>
              </w:rPr>
              <w:t>will not present a ranking of countries</w:t>
            </w:r>
            <w:r>
              <w:rPr>
                <w:rFonts w:ascii="Times New Roman" w:hAnsi="Times New Roman" w:cs="Times New Roman"/>
                <w:sz w:val="20"/>
                <w:szCs w:val="20"/>
                <w:lang w:val="en-GB"/>
              </w:rPr>
              <w:t xml:space="preserve">, as this would not serve any purpose in the post-2015 context but rather to group countries in a manner that would serve to illustrate to HLPF progress on migration policies and gap-analysis.  </w:t>
            </w:r>
          </w:p>
        </w:tc>
      </w:tr>
    </w:tbl>
    <w:p w:rsidR="00400AE4" w:rsidRDefault="007C18F0" w:rsidP="00400AE4">
      <w:pPr>
        <w:rPr>
          <w:rFonts w:ascii="Times New Roman" w:hAnsi="Times New Roman" w:cs="Times New Roman"/>
          <w:sz w:val="20"/>
          <w:szCs w:val="20"/>
          <w:lang w:val="en-GB"/>
        </w:rPr>
      </w:pPr>
      <w:r>
        <w:rPr>
          <w:rFonts w:ascii="Times New Roman" w:hAnsi="Times New Roman" w:cs="Times New Roman"/>
          <w:sz w:val="20"/>
          <w:szCs w:val="20"/>
          <w:lang w:val="en-GB"/>
        </w:rPr>
        <w:lastRenderedPageBreak/>
        <w:br w:type="page"/>
      </w:r>
    </w:p>
    <w:tbl>
      <w:tblPr>
        <w:tblStyle w:val="TableGrid"/>
        <w:tblW w:w="0" w:type="auto"/>
        <w:tblLook w:val="04A0" w:firstRow="1" w:lastRow="0" w:firstColumn="1" w:lastColumn="0" w:noHBand="0" w:noVBand="1"/>
      </w:tblPr>
      <w:tblGrid>
        <w:gridCol w:w="1466"/>
        <w:gridCol w:w="7669"/>
      </w:tblGrid>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Indicator</w:t>
            </w:r>
          </w:p>
        </w:tc>
        <w:tc>
          <w:tcPr>
            <w:tcW w:w="7669" w:type="dxa"/>
          </w:tcPr>
          <w:p w:rsidR="00D07AB2" w:rsidRPr="00C7723C" w:rsidRDefault="00D07AB2" w:rsidP="00D07AB2">
            <w:pPr>
              <w:pStyle w:val="ListParagraph"/>
              <w:ind w:left="0"/>
              <w:rPr>
                <w:b/>
                <w:sz w:val="20"/>
                <w:szCs w:val="20"/>
                <w:lang w:val="en-GB"/>
              </w:rPr>
            </w:pPr>
            <w:r w:rsidRPr="00C7723C">
              <w:rPr>
                <w:b/>
                <w:sz w:val="20"/>
                <w:szCs w:val="20"/>
                <w:lang w:val="en-GB"/>
              </w:rPr>
              <w:t xml:space="preserve">Recruitment cost born by employee as a percentage of yearly income </w:t>
            </w:r>
            <w:r>
              <w:rPr>
                <w:b/>
                <w:sz w:val="20"/>
                <w:szCs w:val="20"/>
                <w:lang w:val="en-GB"/>
              </w:rPr>
              <w:t xml:space="preserve">earned </w:t>
            </w:r>
            <w:r w:rsidRPr="00C7723C">
              <w:rPr>
                <w:b/>
                <w:sz w:val="20"/>
                <w:szCs w:val="20"/>
                <w:lang w:val="en-GB"/>
              </w:rPr>
              <w:t>in country of destination</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D07AB2" w:rsidRPr="00D07AB2" w:rsidRDefault="00D07AB2" w:rsidP="00D07AB2">
            <w:pPr>
              <w:rPr>
                <w:rFonts w:ascii="Times New Roman" w:hAnsi="Times New Roman" w:cs="Times New Roman"/>
                <w:color w:val="333333"/>
                <w:sz w:val="20"/>
                <w:szCs w:val="20"/>
                <w:shd w:val="clear" w:color="auto" w:fill="FFFFFF"/>
              </w:rPr>
            </w:pPr>
            <w:r w:rsidRPr="00C7723C">
              <w:rPr>
                <w:rFonts w:ascii="Times New Roman" w:hAnsi="Times New Roman" w:cs="Times New Roman"/>
                <w:color w:val="333333"/>
                <w:sz w:val="20"/>
                <w:szCs w:val="20"/>
                <w:shd w:val="clear" w:color="auto" w:fill="FFFFFF"/>
                <w:lang w:val="en-GB"/>
              </w:rPr>
              <w:t>Migrant workers often pay recruitment agencies sums amounting to several months’ expected wage. This contravenes the ILO Private Employment Agencies Convention commitment to abolish such fees. These fees disproportionately affect low-skilled, low-income workers from low-income countries. By reducing recruitment costs the disposable incomes of low-income workers are increased and inequalities are reduced by enabling people who could otherwise not afford to seek employment abroad to do so without ending up in debt bondage.</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D07AB2" w:rsidRPr="00C7723C" w:rsidRDefault="00D07AB2" w:rsidP="00D7019F">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Recruitment cost born</w:t>
            </w:r>
            <w:r>
              <w:rPr>
                <w:rFonts w:ascii="Times New Roman" w:hAnsi="Times New Roman" w:cs="Times New Roman"/>
                <w:color w:val="333333"/>
                <w:sz w:val="20"/>
                <w:szCs w:val="20"/>
                <w:shd w:val="clear" w:color="auto" w:fill="FFFFFF"/>
                <w:lang w:val="en-GB"/>
              </w:rPr>
              <w:t>e</w:t>
            </w:r>
            <w:r w:rsidRPr="00C7723C">
              <w:rPr>
                <w:rFonts w:ascii="Times New Roman" w:hAnsi="Times New Roman" w:cs="Times New Roman"/>
                <w:color w:val="333333"/>
                <w:sz w:val="20"/>
                <w:szCs w:val="20"/>
                <w:shd w:val="clear" w:color="auto" w:fill="FFFFFF"/>
                <w:lang w:val="en-GB"/>
              </w:rPr>
              <w:t xml:space="preserve"> by </w:t>
            </w:r>
            <w:r>
              <w:rPr>
                <w:rFonts w:ascii="Times New Roman" w:hAnsi="Times New Roman" w:cs="Times New Roman"/>
                <w:color w:val="333333"/>
                <w:sz w:val="20"/>
                <w:szCs w:val="20"/>
                <w:shd w:val="clear" w:color="auto" w:fill="FFFFFF"/>
              </w:rPr>
              <w:t>agricultural workers</w:t>
            </w:r>
            <w:r w:rsidR="00D7019F">
              <w:rPr>
                <w:rFonts w:ascii="Times New Roman" w:hAnsi="Times New Roman" w:cs="Times New Roman"/>
                <w:color w:val="333333"/>
                <w:sz w:val="20"/>
                <w:szCs w:val="20"/>
                <w:shd w:val="clear" w:color="auto" w:fill="FFFFFF"/>
              </w:rPr>
              <w:t>, domestic workers</w:t>
            </w:r>
            <w:r w:rsidRPr="00D07AB2">
              <w:rPr>
                <w:rFonts w:ascii="Times New Roman" w:hAnsi="Times New Roman" w:cs="Times New Roman"/>
                <w:color w:val="333333"/>
                <w:sz w:val="20"/>
                <w:szCs w:val="20"/>
                <w:shd w:val="clear" w:color="auto" w:fill="FFFFFF"/>
              </w:rPr>
              <w:t xml:space="preserve"> and construction workers</w:t>
            </w:r>
            <w:r>
              <w:rPr>
                <w:rFonts w:ascii="Times New Roman" w:hAnsi="Times New Roman" w:cs="Times New Roman"/>
                <w:color w:val="333333"/>
                <w:sz w:val="20"/>
                <w:szCs w:val="20"/>
                <w:shd w:val="clear" w:color="auto" w:fill="FFFFFF"/>
              </w:rPr>
              <w:t xml:space="preserve"> </w:t>
            </w:r>
            <w:r>
              <w:rPr>
                <w:rFonts w:ascii="Times New Roman" w:hAnsi="Times New Roman" w:cs="Times New Roman"/>
                <w:color w:val="333333"/>
                <w:sz w:val="20"/>
                <w:szCs w:val="20"/>
                <w:shd w:val="clear" w:color="auto" w:fill="FFFFFF"/>
                <w:lang w:val="en-GB"/>
              </w:rPr>
              <w:t xml:space="preserve">divided by </w:t>
            </w:r>
            <w:r w:rsidRPr="00C7723C">
              <w:rPr>
                <w:rFonts w:ascii="Times New Roman" w:hAnsi="Times New Roman" w:cs="Times New Roman"/>
                <w:color w:val="333333"/>
                <w:sz w:val="20"/>
                <w:szCs w:val="20"/>
                <w:shd w:val="clear" w:color="auto" w:fill="FFFFFF"/>
                <w:lang w:val="en-GB"/>
              </w:rPr>
              <w:t xml:space="preserve">yearly income </w:t>
            </w:r>
            <w:r>
              <w:rPr>
                <w:rFonts w:ascii="Times New Roman" w:hAnsi="Times New Roman" w:cs="Times New Roman"/>
                <w:color w:val="333333"/>
                <w:sz w:val="20"/>
                <w:szCs w:val="20"/>
                <w:shd w:val="clear" w:color="auto" w:fill="FFFFFF"/>
                <w:lang w:val="en-GB"/>
              </w:rPr>
              <w:t xml:space="preserve">earned </w:t>
            </w:r>
            <w:r w:rsidRPr="00C7723C">
              <w:rPr>
                <w:rFonts w:ascii="Times New Roman" w:hAnsi="Times New Roman" w:cs="Times New Roman"/>
                <w:color w:val="333333"/>
                <w:sz w:val="20"/>
                <w:szCs w:val="20"/>
                <w:shd w:val="clear" w:color="auto" w:fill="FFFFFF"/>
                <w:lang w:val="en-GB"/>
              </w:rPr>
              <w:t>in country of destination</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Progress is measured as reduction in comparison to baseline, currently under development by KNOMAD (ILO and the World Bank).</w:t>
            </w:r>
            <w:r>
              <w:rPr>
                <w:rFonts w:ascii="Times New Roman" w:hAnsi="Times New Roman" w:cs="Times New Roman"/>
                <w:color w:val="333333"/>
                <w:sz w:val="20"/>
                <w:szCs w:val="20"/>
                <w:shd w:val="clear" w:color="auto" w:fill="FFFFFF"/>
                <w:lang w:val="en-GB"/>
              </w:rPr>
              <w:t xml:space="preserve"> </w:t>
            </w:r>
            <w:r w:rsidRPr="00C7723C">
              <w:rPr>
                <w:rFonts w:ascii="Times New Roman" w:hAnsi="Times New Roman" w:cs="Times New Roman"/>
                <w:color w:val="333333"/>
                <w:sz w:val="20"/>
                <w:szCs w:val="20"/>
                <w:shd w:val="clear" w:color="auto" w:fill="FFFFFF"/>
                <w:lang w:val="en-GB"/>
              </w:rPr>
              <w:t xml:space="preserve">Data would be collected through annual cost surveys based on household surveys, labour force surveys, or </w:t>
            </w:r>
            <w:r>
              <w:rPr>
                <w:rFonts w:ascii="Times New Roman" w:hAnsi="Times New Roman" w:cs="Times New Roman"/>
                <w:color w:val="333333"/>
                <w:sz w:val="20"/>
                <w:szCs w:val="20"/>
                <w:shd w:val="clear" w:color="auto" w:fill="FFFFFF"/>
                <w:lang w:val="en-GB"/>
              </w:rPr>
              <w:t xml:space="preserve">ad hoc </w:t>
            </w:r>
            <w:r w:rsidRPr="00C7723C">
              <w:rPr>
                <w:rFonts w:ascii="Times New Roman" w:hAnsi="Times New Roman" w:cs="Times New Roman"/>
                <w:color w:val="333333"/>
                <w:sz w:val="20"/>
                <w:szCs w:val="20"/>
                <w:shd w:val="clear" w:color="auto" w:fill="FFFFFF"/>
                <w:lang w:val="en-GB"/>
              </w:rPr>
              <w:t>surveys.</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D07AB2" w:rsidRPr="00C7723C" w:rsidRDefault="00D07AB2" w:rsidP="00D07AB2">
            <w:pPr>
              <w:rPr>
                <w:rFonts w:ascii="Times New Roman" w:hAnsi="Times New Roman" w:cs="Times New Roman"/>
                <w:sz w:val="20"/>
                <w:szCs w:val="20"/>
                <w:lang w:val="en-GB"/>
              </w:rPr>
            </w:pPr>
            <w:r>
              <w:rPr>
                <w:rFonts w:ascii="Times New Roman" w:hAnsi="Times New Roman" w:cs="Times New Roman"/>
                <w:sz w:val="20"/>
                <w:szCs w:val="20"/>
                <w:lang w:val="en-GB"/>
              </w:rPr>
              <w:t>National statistical offices, ministries of labour</w:t>
            </w:r>
            <w:r w:rsidRPr="00C7723C">
              <w:rPr>
                <w:rFonts w:ascii="Times New Roman" w:hAnsi="Times New Roman" w:cs="Times New Roman"/>
                <w:sz w:val="20"/>
                <w:szCs w:val="20"/>
                <w:lang w:val="en-GB"/>
              </w:rPr>
              <w:t>.</w:t>
            </w:r>
          </w:p>
          <w:p w:rsidR="00D07AB2" w:rsidRPr="00C7723C" w:rsidRDefault="00D07AB2" w:rsidP="00D07AB2">
            <w:pPr>
              <w:rPr>
                <w:rFonts w:ascii="Times New Roman" w:hAnsi="Times New Roman" w:cs="Times New Roman"/>
                <w:sz w:val="20"/>
                <w:szCs w:val="20"/>
                <w:lang w:val="en-GB"/>
              </w:rPr>
            </w:pPr>
          </w:p>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lang w:val="en-GB"/>
              </w:rPr>
              <w:t>Global Migration Group</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rPr>
              <w:t xml:space="preserve">8.8 </w:t>
            </w:r>
            <w:r w:rsidRPr="00C7723C">
              <w:rPr>
                <w:rFonts w:ascii="Times New Roman" w:hAnsi="Times New Roman" w:cs="Times New Roman"/>
                <w:i/>
                <w:iCs/>
                <w:sz w:val="20"/>
                <w:szCs w:val="20"/>
                <w:lang w:val="en-GB"/>
              </w:rPr>
              <w:t>protect labour rights and promote safe and secure working environments of all workers, including migrant workers, particularly women migrants, and those in precarious situations</w:t>
            </w:r>
            <w:r w:rsidRPr="00C7723C">
              <w:rPr>
                <w:rStyle w:val="FootnoteReference"/>
                <w:rFonts w:ascii="Times New Roman" w:hAnsi="Times New Roman" w:cs="Times New Roman"/>
                <w:color w:val="333333"/>
                <w:sz w:val="20"/>
                <w:szCs w:val="20"/>
                <w:shd w:val="clear" w:color="auto" w:fill="FFFFFF"/>
                <w:lang w:val="en-GB"/>
              </w:rPr>
              <w:footnoteReference w:id="2"/>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lang w:val="en-GB"/>
              </w:rPr>
              <w:t xml:space="preserve">Much could be covered by introducing new questions into existing surveys, but in some instances new surveys might be needed. </w:t>
            </w:r>
          </w:p>
        </w:tc>
      </w:tr>
    </w:tbl>
    <w:p w:rsidR="00D07AB2" w:rsidRPr="00C7723C" w:rsidRDefault="00D07AB2" w:rsidP="00400A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25" w:type="dxa"/>
          </w:tcPr>
          <w:p w:rsidR="00400AE4" w:rsidRPr="00C7723C" w:rsidRDefault="00400AE4" w:rsidP="00400AE4">
            <w:pPr>
              <w:rPr>
                <w:rFonts w:ascii="Times New Roman" w:hAnsi="Times New Roman" w:cs="Times New Roman"/>
                <w:b/>
                <w:color w:val="333333"/>
                <w:sz w:val="20"/>
                <w:szCs w:val="20"/>
                <w:shd w:val="clear" w:color="auto" w:fill="FFFFFF"/>
                <w:lang w:val="en-GB"/>
              </w:rPr>
            </w:pPr>
            <w:r w:rsidRPr="00C7723C">
              <w:rPr>
                <w:rFonts w:ascii="Times New Roman" w:hAnsi="Times New Roman" w:cs="Times New Roman"/>
                <w:b/>
                <w:sz w:val="20"/>
                <w:szCs w:val="20"/>
                <w:lang w:val="en-GB"/>
              </w:rPr>
              <w:t>Remittance costs as a percentage of the amount remitted</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sz w:val="20"/>
                <w:szCs w:val="20"/>
                <w:lang w:val="en-GB"/>
              </w:rPr>
              <w:t xml:space="preserve">10.c </w:t>
            </w:r>
            <w:r w:rsidRPr="00C7723C">
              <w:rPr>
                <w:rFonts w:ascii="Times New Roman" w:hAnsi="Times New Roman" w:cs="Times New Roman"/>
                <w:i/>
                <w:iCs/>
                <w:sz w:val="20"/>
                <w:szCs w:val="20"/>
                <w:lang w:val="en-GB"/>
              </w:rPr>
              <w:t>by 2030, reduce to less than 3% the transaction costs of migrant remittances and eliminate remittance corridors with costs higher than 5%</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Remittances are an important private source of income for migrant families. They benefit wider communities and improve the human development of migrant households. With total remittances going to developing countries projected at USD 454 billion in 2015, reaching the target of reducing remittances to less than 3% would save more than USD 20 billion/year.</w:t>
            </w:r>
            <w:r>
              <w:rPr>
                <w:rFonts w:ascii="Times New Roman" w:hAnsi="Times New Roman" w:cs="Times New Roman"/>
                <w:color w:val="333333"/>
                <w:sz w:val="20"/>
                <w:szCs w:val="20"/>
                <w:shd w:val="clear" w:color="auto" w:fill="FFFFFF"/>
                <w:lang w:val="en-GB"/>
              </w:rPr>
              <w:t xml:space="preserve"> The G20 has already committed to reducing the transfer costs of remittances (with 5 percentage points over five years), the so–called “5x 5 </w:t>
            </w:r>
            <w:proofErr w:type="gramStart"/>
            <w:r>
              <w:rPr>
                <w:rFonts w:ascii="Times New Roman" w:hAnsi="Times New Roman" w:cs="Times New Roman"/>
                <w:color w:val="333333"/>
                <w:sz w:val="20"/>
                <w:szCs w:val="20"/>
                <w:shd w:val="clear" w:color="auto" w:fill="FFFFFF"/>
                <w:lang w:val="en-GB"/>
              </w:rPr>
              <w:t>initiative</w:t>
            </w:r>
            <w:proofErr w:type="gramEnd"/>
            <w:r>
              <w:rPr>
                <w:rFonts w:ascii="Times New Roman" w:hAnsi="Times New Roman" w:cs="Times New Roman"/>
                <w:color w:val="333333"/>
                <w:sz w:val="20"/>
                <w:szCs w:val="20"/>
                <w:shd w:val="clear" w:color="auto" w:fill="FFFFFF"/>
                <w:lang w:val="en-GB"/>
              </w:rPr>
              <w:t>”. To monitor this commitment, a designated group in the World bank was created to monitor the implementation of this commitment.</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Fees paid, including indirect costs for inflated exchange rates, divided by the amount remitted.</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w:t>
            </w:r>
            <w:r>
              <w:rPr>
                <w:rFonts w:ascii="Times New Roman" w:hAnsi="Times New Roman" w:cs="Times New Roman"/>
                <w:color w:val="333333"/>
                <w:sz w:val="20"/>
                <w:szCs w:val="20"/>
                <w:shd w:val="clear" w:color="auto" w:fill="FFFFFF"/>
                <w:lang w:val="en-GB"/>
              </w:rPr>
              <w:t xml:space="preserve">already </w:t>
            </w:r>
            <w:r w:rsidRPr="00C7723C">
              <w:rPr>
                <w:rFonts w:ascii="Times New Roman" w:hAnsi="Times New Roman" w:cs="Times New Roman"/>
                <w:color w:val="333333"/>
                <w:sz w:val="20"/>
                <w:szCs w:val="20"/>
                <w:shd w:val="clear" w:color="auto" w:fill="FFFFFF"/>
                <w:lang w:val="en-GB"/>
              </w:rPr>
              <w:t>collect</w:t>
            </w:r>
            <w:r>
              <w:rPr>
                <w:rFonts w:ascii="Times New Roman" w:hAnsi="Times New Roman" w:cs="Times New Roman"/>
                <w:color w:val="333333"/>
                <w:sz w:val="20"/>
                <w:szCs w:val="20"/>
                <w:shd w:val="clear" w:color="auto" w:fill="FFFFFF"/>
                <w:lang w:val="en-GB"/>
              </w:rPr>
              <w:t>ed</w:t>
            </w:r>
            <w:r w:rsidRPr="00C7723C">
              <w:rPr>
                <w:rFonts w:ascii="Times New Roman" w:hAnsi="Times New Roman" w:cs="Times New Roman"/>
                <w:color w:val="333333"/>
                <w:sz w:val="20"/>
                <w:szCs w:val="20"/>
                <w:shd w:val="clear" w:color="auto" w:fill="FFFFFF"/>
                <w:lang w:val="en-GB"/>
              </w:rPr>
              <w:t xml:space="preserve"> </w:t>
            </w:r>
            <w:r>
              <w:rPr>
                <w:rFonts w:ascii="Times New Roman" w:hAnsi="Times New Roman" w:cs="Times New Roman"/>
                <w:color w:val="333333"/>
                <w:sz w:val="20"/>
                <w:szCs w:val="20"/>
                <w:shd w:val="clear" w:color="auto" w:fill="FFFFFF"/>
                <w:lang w:val="en-GB"/>
              </w:rPr>
              <w:t>through quarterly surveys i</w:t>
            </w:r>
            <w:r w:rsidRPr="0012354F">
              <w:rPr>
                <w:rFonts w:ascii="Times New Roman" w:hAnsi="Times New Roman" w:cs="Times New Roman"/>
                <w:sz w:val="20"/>
                <w:szCs w:val="20"/>
                <w:shd w:val="clear" w:color="auto" w:fill="FFFFFF"/>
                <w:lang w:val="en-GB"/>
              </w:rPr>
              <w:t xml:space="preserve">n </w:t>
            </w:r>
            <w:r w:rsidR="0012354F" w:rsidRPr="0012354F">
              <w:rPr>
                <w:rFonts w:ascii="Times New Roman" w:hAnsi="Times New Roman" w:cs="Times New Roman"/>
                <w:sz w:val="20"/>
                <w:szCs w:val="20"/>
                <w:shd w:val="clear" w:color="auto" w:fill="FFFFFF"/>
                <w:lang w:val="en-GB"/>
              </w:rPr>
              <w:t>226</w:t>
            </w:r>
            <w:r w:rsidRPr="0012354F">
              <w:rPr>
                <w:rFonts w:ascii="Times New Roman" w:hAnsi="Times New Roman" w:cs="Times New Roman"/>
                <w:color w:val="333333"/>
                <w:sz w:val="20"/>
                <w:szCs w:val="20"/>
                <w:shd w:val="clear" w:color="auto" w:fill="FFFFFF"/>
                <w:lang w:val="en-GB"/>
              </w:rPr>
              <w:t xml:space="preserve"> migration</w:t>
            </w:r>
            <w:r>
              <w:rPr>
                <w:rFonts w:ascii="Times New Roman" w:hAnsi="Times New Roman" w:cs="Times New Roman"/>
                <w:color w:val="333333"/>
                <w:sz w:val="20"/>
                <w:szCs w:val="20"/>
                <w:shd w:val="clear" w:color="auto" w:fill="FFFFFF"/>
                <w:lang w:val="en-GB"/>
              </w:rPr>
              <w:t xml:space="preserve"> corridors. Information is compiled in </w:t>
            </w:r>
            <w:r w:rsidRPr="00C7723C">
              <w:rPr>
                <w:rFonts w:ascii="Times New Roman" w:hAnsi="Times New Roman" w:cs="Times New Roman"/>
                <w:color w:val="333333"/>
                <w:sz w:val="20"/>
                <w:szCs w:val="20"/>
                <w:shd w:val="clear" w:color="auto" w:fill="FFFFFF"/>
                <w:lang w:val="en-GB"/>
              </w:rPr>
              <w:t xml:space="preserve">existing remittance price database: </w:t>
            </w:r>
            <w:hyperlink r:id="rId14" w:history="1">
              <w:r w:rsidRPr="00C7723C">
                <w:rPr>
                  <w:rStyle w:val="Hyperlink"/>
                  <w:rFonts w:ascii="Times New Roman" w:hAnsi="Times New Roman" w:cs="Times New Roman"/>
                  <w:sz w:val="20"/>
                  <w:szCs w:val="20"/>
                  <w:shd w:val="clear" w:color="auto" w:fill="FFFFFF"/>
                  <w:lang w:val="en-GB"/>
                </w:rPr>
                <w:t>http://remittanceprices.worldbank.org/en</w:t>
              </w:r>
            </w:hyperlink>
            <w:r w:rsidRPr="00C7723C">
              <w:rPr>
                <w:rFonts w:ascii="Times New Roman" w:hAnsi="Times New Roman" w:cs="Times New Roman"/>
                <w:color w:val="333333"/>
                <w:sz w:val="20"/>
                <w:szCs w:val="20"/>
                <w:shd w:val="clear" w:color="auto" w:fill="FFFFFF"/>
                <w:lang w:val="en-GB"/>
              </w:rPr>
              <w:t>, (survey based, mystery shopping)</w:t>
            </w:r>
          </w:p>
          <w:p w:rsidR="00400AE4" w:rsidRPr="00C7723C"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sz w:val="20"/>
                <w:szCs w:val="20"/>
                <w:lang w:val="en-GB"/>
              </w:rPr>
            </w:pP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25" w:type="dxa"/>
          </w:tcPr>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sz w:val="20"/>
                <w:szCs w:val="20"/>
                <w:lang w:val="en-GB"/>
              </w:rPr>
              <w:t>The World Bank</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Other targets for which this indicator is </w:t>
            </w:r>
            <w:r w:rsidRPr="00C7723C">
              <w:rPr>
                <w:rFonts w:ascii="Times New Roman" w:hAnsi="Times New Roman" w:cs="Times New Roman"/>
                <w:color w:val="333333"/>
                <w:sz w:val="20"/>
                <w:szCs w:val="20"/>
                <w:shd w:val="clear" w:color="auto" w:fill="FFFFFF"/>
                <w:lang w:val="en-GB"/>
              </w:rPr>
              <w:lastRenderedPageBreak/>
              <w:t>relevant</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r w:rsidRPr="00C7723C">
              <w:rPr>
                <w:rFonts w:ascii="Times New Roman" w:hAnsi="Times New Roman" w:cs="Times New Roman"/>
                <w:color w:val="333333"/>
                <w:sz w:val="20"/>
                <w:szCs w:val="20"/>
                <w:shd w:val="clear" w:color="auto" w:fill="FFFFFF"/>
                <w:lang w:val="en-GB"/>
              </w:rPr>
              <w:t xml:space="preserve">; </w:t>
            </w:r>
          </w:p>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 xml:space="preserve">17.3 </w:t>
            </w:r>
            <w:r w:rsidRPr="00C7723C">
              <w:rPr>
                <w:rFonts w:ascii="Times New Roman" w:hAnsi="Times New Roman" w:cs="Times New Roman"/>
                <w:i/>
                <w:color w:val="333333"/>
                <w:sz w:val="20"/>
                <w:szCs w:val="20"/>
                <w:shd w:val="clear" w:color="auto" w:fill="FFFFFF"/>
                <w:lang w:val="en-GB"/>
              </w:rPr>
              <w:t>Mobilize additional financial resources for developing countries from multiple sources</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Comments</w:t>
            </w:r>
          </w:p>
        </w:tc>
        <w:tc>
          <w:tcPr>
            <w:tcW w:w="7625" w:type="dxa"/>
          </w:tcPr>
          <w:p w:rsidR="00400AE4" w:rsidRPr="00C7723C"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The ratings this indicator received from UN Statistics Division survey among national statistics offices (CBB) is misguiding as it does not take into account the existing data collection (quarterly surveys) carried by the World Bank in a large number of number of migration corridors. Suggested rating: AAA</w:t>
            </w:r>
          </w:p>
        </w:tc>
      </w:tr>
    </w:tbl>
    <w:p w:rsidR="00400AE4" w:rsidRDefault="00400AE4" w:rsidP="00400A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25" w:type="dxa"/>
          </w:tcPr>
          <w:p w:rsidR="00400AE4" w:rsidRPr="00C7723C" w:rsidRDefault="00400AE4" w:rsidP="00400AE4">
            <w:pPr>
              <w:pStyle w:val="ListParagraph"/>
              <w:ind w:left="0"/>
              <w:rPr>
                <w:b/>
                <w:sz w:val="20"/>
                <w:szCs w:val="20"/>
                <w:lang w:val="en-GB"/>
              </w:rPr>
            </w:pPr>
            <w:r w:rsidRPr="00C7723C">
              <w:rPr>
                <w:b/>
                <w:sz w:val="20"/>
                <w:szCs w:val="20"/>
                <w:lang w:val="en-GB"/>
              </w:rPr>
              <w:t>Percentage of refugees and IDPs who have found a durable solution</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16.1 </w:t>
            </w:r>
            <w:r w:rsidRPr="00C7723C">
              <w:rPr>
                <w:rFonts w:ascii="Times New Roman" w:hAnsi="Times New Roman" w:cs="Times New Roman"/>
                <w:i/>
                <w:color w:val="333333"/>
                <w:sz w:val="20"/>
                <w:szCs w:val="20"/>
                <w:shd w:val="clear" w:color="auto" w:fill="FFFFFF"/>
                <w:lang w:val="en-GB"/>
              </w:rPr>
              <w:t>Significantly reduce all forms of violence and related death rates everywhere</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Displacement due to conflict or disasters is a universal challenge, which was recognized in the UNSG’s synthesis report on the post-2015 agenda. There are currently around 50 million IDPs and refugees in the world. The average length of conflict-induced displacement is 17 years and the trend is that displaced people remain so for increasingly protracted periods of time. Through durable solutions based on voluntary repatriation, local integration or resettlement, considerable human suffering and waste of human resources can be prevented while strengthening the three pillars of sustainable development.</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The number of refugees and IDPs who have found a durable solution during the year (voluntary repatriation, local integration, </w:t>
            </w:r>
            <w:proofErr w:type="gramStart"/>
            <w:r w:rsidRPr="00C7723C">
              <w:rPr>
                <w:rFonts w:ascii="Times New Roman" w:hAnsi="Times New Roman" w:cs="Times New Roman"/>
                <w:color w:val="333333"/>
                <w:sz w:val="20"/>
                <w:szCs w:val="20"/>
                <w:shd w:val="clear" w:color="auto" w:fill="FFFFFF"/>
                <w:lang w:val="en-GB"/>
              </w:rPr>
              <w:t>resettlement</w:t>
            </w:r>
            <w:proofErr w:type="gramEnd"/>
            <w:r w:rsidRPr="00C7723C">
              <w:rPr>
                <w:rFonts w:ascii="Times New Roman" w:hAnsi="Times New Roman" w:cs="Times New Roman"/>
                <w:color w:val="333333"/>
                <w:sz w:val="20"/>
                <w:szCs w:val="20"/>
                <w:shd w:val="clear" w:color="auto" w:fill="FFFFFF"/>
                <w:lang w:val="en-GB"/>
              </w:rPr>
              <w:t>) divided by the total number of refugees and IDPs at the beginning of the year.</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25" w:type="dxa"/>
          </w:tcPr>
          <w:p w:rsidR="00400AE4"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include administrative data maintained by host countries </w:t>
            </w:r>
            <w:r>
              <w:rPr>
                <w:rFonts w:ascii="Times New Roman" w:hAnsi="Times New Roman" w:cs="Times New Roman"/>
                <w:color w:val="333333"/>
                <w:sz w:val="20"/>
                <w:szCs w:val="20"/>
                <w:shd w:val="clear" w:color="auto" w:fill="FFFFFF"/>
                <w:lang w:val="en-GB"/>
              </w:rPr>
              <w:t xml:space="preserve">(ministries and agencies in charge of adjudication of refugee status, immigration authorities in charge of refugee resettlement, interior ministries in charge of issuing work and residents permits and naturalization procedures) </w:t>
            </w:r>
          </w:p>
          <w:p w:rsidR="00400AE4"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UNHCR</w:t>
            </w:r>
            <w:r>
              <w:rPr>
                <w:rFonts w:ascii="Times New Roman" w:hAnsi="Times New Roman" w:cs="Times New Roman"/>
                <w:color w:val="333333"/>
                <w:sz w:val="20"/>
                <w:szCs w:val="20"/>
                <w:shd w:val="clear" w:color="auto" w:fill="FFFFFF"/>
                <w:lang w:val="en-GB"/>
              </w:rPr>
              <w:t xml:space="preserve"> (Statistical Yearbook, online Population Database)</w:t>
            </w:r>
            <w:r w:rsidRPr="00C7723C">
              <w:rPr>
                <w:rFonts w:ascii="Times New Roman" w:hAnsi="Times New Roman" w:cs="Times New Roman"/>
                <w:color w:val="333333"/>
                <w:sz w:val="20"/>
                <w:szCs w:val="20"/>
                <w:shd w:val="clear" w:color="auto" w:fill="FFFFFF"/>
                <w:lang w:val="en-GB"/>
              </w:rPr>
              <w:t>, IOM</w:t>
            </w:r>
            <w:r>
              <w:rPr>
                <w:rFonts w:ascii="Times New Roman" w:hAnsi="Times New Roman" w:cs="Times New Roman"/>
                <w:color w:val="333333"/>
                <w:sz w:val="20"/>
                <w:szCs w:val="20"/>
                <w:shd w:val="clear" w:color="auto" w:fill="FFFFFF"/>
                <w:lang w:val="en-GB"/>
              </w:rPr>
              <w:t xml:space="preserve"> </w:t>
            </w:r>
            <w:r>
              <w:rPr>
                <w:rFonts w:ascii="Times New Roman" w:hAnsi="Times New Roman" w:cs="Times New Roman"/>
                <w:sz w:val="20"/>
                <w:szCs w:val="20"/>
                <w:lang w:val="en-GB"/>
              </w:rPr>
              <w:t>(</w:t>
            </w:r>
            <w:r w:rsidRPr="00C7723C">
              <w:rPr>
                <w:rFonts w:ascii="Times New Roman" w:hAnsi="Times New Roman" w:cs="Times New Roman"/>
                <w:sz w:val="20"/>
                <w:szCs w:val="20"/>
                <w:lang w:val="en-GB"/>
              </w:rPr>
              <w:t>Displacement Tracking Matrix)</w:t>
            </w:r>
            <w:r>
              <w:rPr>
                <w:rFonts w:ascii="Times New Roman" w:hAnsi="Times New Roman" w:cs="Times New Roman"/>
                <w:sz w:val="20"/>
                <w:szCs w:val="20"/>
                <w:lang w:val="en-GB"/>
              </w:rPr>
              <w:t xml:space="preserve">; </w:t>
            </w:r>
            <w:r w:rsidRPr="00C7723C">
              <w:rPr>
                <w:rFonts w:ascii="Times New Roman" w:hAnsi="Times New Roman" w:cs="Times New Roman"/>
                <w:sz w:val="20"/>
                <w:szCs w:val="20"/>
                <w:lang w:val="en-GB"/>
              </w:rPr>
              <w:t xml:space="preserve">IDMC </w:t>
            </w:r>
            <w:r>
              <w:rPr>
                <w:rFonts w:ascii="Times New Roman" w:hAnsi="Times New Roman" w:cs="Times New Roman"/>
                <w:sz w:val="20"/>
                <w:szCs w:val="20"/>
                <w:lang w:val="en-GB"/>
              </w:rPr>
              <w:t>(</w:t>
            </w:r>
            <w:r w:rsidRPr="00C7723C">
              <w:rPr>
                <w:rFonts w:ascii="Times New Roman" w:hAnsi="Times New Roman" w:cs="Times New Roman"/>
                <w:sz w:val="20"/>
                <w:szCs w:val="20"/>
                <w:lang w:val="en-GB"/>
              </w:rPr>
              <w:t>annual reports on displacement</w:t>
            </w:r>
            <w:r>
              <w:rPr>
                <w:rFonts w:ascii="Times New Roman" w:hAnsi="Times New Roman" w:cs="Times New Roman"/>
                <w:sz w:val="20"/>
                <w:szCs w:val="20"/>
                <w:lang w:val="en-GB"/>
              </w:rPr>
              <w:t>)</w:t>
            </w:r>
          </w:p>
          <w:p w:rsidR="00400AE4" w:rsidRPr="00C7723C" w:rsidRDefault="00400AE4" w:rsidP="00400AE4">
            <w:pPr>
              <w:rPr>
                <w:rFonts w:ascii="Times New Roman" w:hAnsi="Times New Roman" w:cs="Times New Roman"/>
                <w:sz w:val="20"/>
                <w:szCs w:val="20"/>
                <w:lang w:val="en-GB"/>
              </w:rPr>
            </w:pP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25" w:type="dxa"/>
          </w:tcPr>
          <w:p w:rsidR="00400AE4" w:rsidRPr="00C7723C" w:rsidRDefault="00306EF8"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Members of the </w:t>
            </w:r>
            <w:r w:rsidR="00400AE4" w:rsidRPr="00C7723C">
              <w:rPr>
                <w:rFonts w:ascii="Times New Roman" w:hAnsi="Times New Roman" w:cs="Times New Roman"/>
                <w:sz w:val="20"/>
                <w:szCs w:val="20"/>
                <w:lang w:val="en-GB"/>
              </w:rPr>
              <w:t>Global Migration Group</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rPr>
            </w:pPr>
            <w:r w:rsidRPr="00C7723C">
              <w:rPr>
                <w:rFonts w:ascii="Times New Roman" w:hAnsi="Times New Roman" w:cs="Times New Roman"/>
                <w:color w:val="333333"/>
                <w:sz w:val="20"/>
                <w:szCs w:val="20"/>
                <w:shd w:val="clear" w:color="auto" w:fill="FFFFFF"/>
              </w:rPr>
              <w:t xml:space="preserve">1.5 </w:t>
            </w:r>
            <w:r w:rsidRPr="00C7723C">
              <w:rPr>
                <w:rFonts w:ascii="Times New Roman" w:hAnsi="Times New Roman" w:cs="Times New Roman"/>
                <w:i/>
                <w:color w:val="333333"/>
                <w:sz w:val="20"/>
                <w:szCs w:val="20"/>
                <w:shd w:val="clear" w:color="auto" w:fill="FFFFFF"/>
                <w:lang w:val="en-GB"/>
              </w:rPr>
              <w:t>By 2030, build the resilience of the poor and those in vulnerable situations and reduce their exposure and vulnerability to climate-related extreme events and other economic, social and environmental shocks and disasters</w:t>
            </w:r>
            <w:r w:rsidRPr="00C7723C">
              <w:rPr>
                <w:rFonts w:ascii="Times New Roman" w:hAnsi="Times New Roman" w:cs="Times New Roman"/>
                <w:color w:val="333333"/>
                <w:sz w:val="20"/>
                <w:szCs w:val="20"/>
                <w:shd w:val="clear" w:color="auto" w:fill="FFFFFF"/>
              </w:rPr>
              <w:t xml:space="preserve">; </w:t>
            </w:r>
          </w:p>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r w:rsidRPr="00C7723C">
              <w:rPr>
                <w:rFonts w:ascii="Times New Roman" w:hAnsi="Times New Roman" w:cs="Times New Roman"/>
                <w:color w:val="333333"/>
                <w:sz w:val="20"/>
                <w:szCs w:val="20"/>
                <w:shd w:val="clear" w:color="auto" w:fill="FFFFFF"/>
                <w:lang w:val="en-GB"/>
              </w:rPr>
              <w:t xml:space="preserve">; </w:t>
            </w:r>
          </w:p>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rPr>
              <w:t xml:space="preserve">11.5 </w:t>
            </w:r>
            <w:r w:rsidRPr="00C7723C">
              <w:rPr>
                <w:rFonts w:ascii="Times New Roman" w:hAnsi="Times New Roman" w:cs="Times New Roman"/>
                <w:i/>
                <w:color w:val="333333"/>
                <w:sz w:val="20"/>
                <w:szCs w:val="20"/>
                <w:shd w:val="clear" w:color="auto" w:fill="FFFFFF"/>
                <w:lang w:val="en-GB"/>
              </w:rPr>
              <w:t>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25" w:type="dxa"/>
          </w:tcPr>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sz w:val="20"/>
                <w:szCs w:val="20"/>
                <w:lang w:val="en-GB"/>
              </w:rPr>
              <w:t>Tools and methodologies to adequately follow up on the measurement of this indicator already exist. Nonetheless, the measurement of this indicator implies the systematization of iterative displacement tracking efforts, which can help define individual start and end date (and duration) of displacement for the population surveyed. Such efforts are carried out sporadically and not in all geographic contexts, and often only at early stages of post-crisis situations.</w:t>
            </w:r>
          </w:p>
        </w:tc>
      </w:tr>
    </w:tbl>
    <w:p w:rsidR="00400AE4" w:rsidRDefault="00400AE4" w:rsidP="00400AE4">
      <w:pPr>
        <w:rPr>
          <w:rFonts w:ascii="Times New Roman" w:hAnsi="Times New Roman" w:cs="Times New Roman"/>
          <w:sz w:val="20"/>
          <w:szCs w:val="20"/>
        </w:rPr>
      </w:pPr>
    </w:p>
    <w:p w:rsidR="00400AE4" w:rsidRDefault="00400AE4" w:rsidP="00400AE4">
      <w:pPr>
        <w:rPr>
          <w:rFonts w:ascii="Times New Roman" w:hAnsi="Times New Roman" w:cs="Times New Roman"/>
          <w:sz w:val="20"/>
          <w:szCs w:val="20"/>
        </w:rPr>
      </w:pPr>
      <w:r>
        <w:rPr>
          <w:rFonts w:ascii="Times New Roman" w:hAnsi="Times New Roman" w:cs="Times New Roman"/>
          <w:sz w:val="20"/>
          <w:szCs w:val="20"/>
        </w:rPr>
        <w:br w:type="page"/>
      </w:r>
    </w:p>
    <w:p w:rsidR="00400AE4" w:rsidRPr="006F11E9" w:rsidRDefault="00400AE4" w:rsidP="00400AE4">
      <w:pPr>
        <w:jc w:val="center"/>
        <w:rPr>
          <w:rFonts w:ascii="Times New Roman" w:hAnsi="Times New Roman" w:cs="Times New Roman"/>
          <w:sz w:val="22"/>
          <w:szCs w:val="22"/>
          <w:lang w:val="en-GB"/>
        </w:rPr>
      </w:pPr>
      <w:r w:rsidRPr="006F11E9">
        <w:rPr>
          <w:rFonts w:ascii="Times New Roman" w:hAnsi="Times New Roman" w:cs="Times New Roman"/>
          <w:b/>
          <w:sz w:val="22"/>
          <w:szCs w:val="22"/>
          <w:u w:val="single"/>
          <w:lang w:val="en-GB"/>
        </w:rPr>
        <w:lastRenderedPageBreak/>
        <w:t xml:space="preserve">ANNEX II. </w:t>
      </w:r>
      <w:r w:rsidR="007C18F0">
        <w:rPr>
          <w:rFonts w:ascii="Times New Roman" w:hAnsi="Times New Roman" w:cs="Times New Roman"/>
          <w:b/>
          <w:sz w:val="22"/>
          <w:szCs w:val="22"/>
          <w:u w:val="single"/>
          <w:lang w:val="en-GB"/>
        </w:rPr>
        <w:t>I</w:t>
      </w:r>
      <w:r w:rsidRPr="006F11E9">
        <w:rPr>
          <w:rFonts w:ascii="Times New Roman" w:hAnsi="Times New Roman" w:cs="Times New Roman"/>
          <w:b/>
          <w:sz w:val="22"/>
          <w:szCs w:val="22"/>
          <w:u w:val="single"/>
          <w:lang w:val="en-GB"/>
        </w:rPr>
        <w:t xml:space="preserve">ndicators </w:t>
      </w:r>
      <w:r w:rsidR="007C18F0">
        <w:rPr>
          <w:rFonts w:ascii="Times New Roman" w:hAnsi="Times New Roman" w:cs="Times New Roman"/>
          <w:b/>
          <w:sz w:val="22"/>
          <w:szCs w:val="22"/>
          <w:u w:val="single"/>
          <w:lang w:val="en-GB"/>
        </w:rPr>
        <w:t>p</w:t>
      </w:r>
      <w:r w:rsidR="007C18F0" w:rsidRPr="006F11E9">
        <w:rPr>
          <w:rFonts w:ascii="Times New Roman" w:hAnsi="Times New Roman" w:cs="Times New Roman"/>
          <w:b/>
          <w:sz w:val="22"/>
          <w:szCs w:val="22"/>
          <w:u w:val="single"/>
          <w:lang w:val="en-GB"/>
        </w:rPr>
        <w:t xml:space="preserve">rioritized </w:t>
      </w:r>
      <w:r w:rsidRPr="006F11E9">
        <w:rPr>
          <w:rFonts w:ascii="Times New Roman" w:hAnsi="Times New Roman" w:cs="Times New Roman"/>
          <w:b/>
          <w:sz w:val="22"/>
          <w:szCs w:val="22"/>
          <w:u w:val="single"/>
          <w:lang w:val="en-GB"/>
        </w:rPr>
        <w:t>for disaggregated reporting</w:t>
      </w:r>
      <w:r w:rsidR="007C18F0">
        <w:rPr>
          <w:rFonts w:ascii="Times New Roman" w:hAnsi="Times New Roman" w:cs="Times New Roman"/>
          <w:b/>
          <w:sz w:val="22"/>
          <w:szCs w:val="22"/>
          <w:u w:val="single"/>
          <w:lang w:val="en-GB"/>
        </w:rPr>
        <w:t xml:space="preserve"> based on migratory status</w:t>
      </w:r>
    </w:p>
    <w:p w:rsidR="00400AE4" w:rsidRPr="006F11E9" w:rsidRDefault="00400AE4" w:rsidP="00400AE4">
      <w:pPr>
        <w:rPr>
          <w:rFonts w:ascii="Times New Roman" w:hAnsi="Times New Roman" w:cs="Times New Roman"/>
          <w:sz w:val="22"/>
          <w:szCs w:val="22"/>
          <w:lang w:val="en-GB"/>
        </w:rPr>
      </w:pPr>
    </w:p>
    <w:p w:rsidR="00400AE4" w:rsidRPr="0095429B" w:rsidRDefault="00400AE4" w:rsidP="00400AE4">
      <w:pPr>
        <w:rPr>
          <w:rFonts w:ascii="Times New Roman" w:hAnsi="Times New Roman" w:cs="Times New Roman"/>
          <w:i/>
          <w:sz w:val="22"/>
          <w:szCs w:val="22"/>
          <w:lang w:val="en-GB"/>
        </w:rPr>
      </w:pPr>
      <w:r>
        <w:rPr>
          <w:rFonts w:ascii="Times New Roman" w:hAnsi="Times New Roman" w:cs="Times New Roman"/>
          <w:sz w:val="22"/>
          <w:szCs w:val="22"/>
          <w:lang w:val="en-GB"/>
        </w:rPr>
        <w:t xml:space="preserve">It is recommended that all indicators </w:t>
      </w:r>
      <w:r w:rsidRPr="006F11E9">
        <w:rPr>
          <w:rFonts w:ascii="Times New Roman" w:hAnsi="Times New Roman" w:cs="Times New Roman"/>
          <w:sz w:val="22"/>
          <w:szCs w:val="22"/>
          <w:lang w:val="en-GB"/>
        </w:rPr>
        <w:t xml:space="preserve">below should be disaggregated by "migratory status", including </w:t>
      </w:r>
      <w:r w:rsidRPr="006F11E9">
        <w:rPr>
          <w:rFonts w:ascii="Times New Roman" w:hAnsi="Times New Roman" w:cs="Times New Roman"/>
          <w:i/>
          <w:sz w:val="22"/>
          <w:szCs w:val="22"/>
          <w:lang w:val="en-GB"/>
        </w:rPr>
        <w:t xml:space="preserve">nativity status </w:t>
      </w:r>
      <w:r w:rsidRPr="006F11E9">
        <w:rPr>
          <w:rFonts w:ascii="Times New Roman" w:hAnsi="Times New Roman" w:cs="Times New Roman"/>
          <w:sz w:val="22"/>
          <w:szCs w:val="22"/>
          <w:lang w:val="en-GB"/>
        </w:rPr>
        <w:t>(native-born/forei</w:t>
      </w:r>
      <w:r w:rsidRPr="0095429B">
        <w:rPr>
          <w:rFonts w:ascii="Times New Roman" w:hAnsi="Times New Roman" w:cs="Times New Roman"/>
          <w:sz w:val="22"/>
          <w:szCs w:val="22"/>
          <w:lang w:val="en-GB"/>
        </w:rPr>
        <w:t xml:space="preserve">gn-born) </w:t>
      </w:r>
      <w:r>
        <w:rPr>
          <w:rFonts w:ascii="Times New Roman" w:hAnsi="Times New Roman" w:cs="Times New Roman"/>
          <w:sz w:val="22"/>
          <w:szCs w:val="22"/>
          <w:lang w:val="en-GB"/>
        </w:rPr>
        <w:t>or</w:t>
      </w:r>
      <w:r w:rsidRPr="0095429B">
        <w:rPr>
          <w:rFonts w:ascii="Times New Roman" w:hAnsi="Times New Roman" w:cs="Times New Roman"/>
          <w:sz w:val="22"/>
          <w:szCs w:val="22"/>
          <w:lang w:val="en-GB"/>
        </w:rPr>
        <w:t xml:space="preserve"> </w:t>
      </w:r>
      <w:r w:rsidRPr="0095429B">
        <w:rPr>
          <w:rFonts w:ascii="Times New Roman" w:hAnsi="Times New Roman" w:cs="Times New Roman"/>
          <w:i/>
          <w:sz w:val="22"/>
          <w:szCs w:val="22"/>
          <w:lang w:val="en-GB"/>
        </w:rPr>
        <w:t xml:space="preserve">citizenship status </w:t>
      </w:r>
      <w:r w:rsidRPr="0095429B">
        <w:rPr>
          <w:rFonts w:ascii="Times New Roman" w:hAnsi="Times New Roman" w:cs="Times New Roman"/>
          <w:sz w:val="22"/>
          <w:szCs w:val="22"/>
          <w:lang w:val="en-GB"/>
        </w:rPr>
        <w:t xml:space="preserve">(citizen, foreigner, stateless). In addition, where relevant, it has been suggested to include </w:t>
      </w:r>
      <w:r>
        <w:rPr>
          <w:rFonts w:ascii="Times New Roman" w:hAnsi="Times New Roman" w:cs="Times New Roman"/>
          <w:sz w:val="22"/>
          <w:szCs w:val="22"/>
          <w:lang w:val="en-GB"/>
        </w:rPr>
        <w:t xml:space="preserve">disaggregation by </w:t>
      </w:r>
      <w:r w:rsidRPr="0095429B">
        <w:rPr>
          <w:rFonts w:ascii="Times New Roman" w:hAnsi="Times New Roman" w:cs="Times New Roman"/>
          <w:sz w:val="22"/>
          <w:szCs w:val="22"/>
          <w:lang w:val="en-GB"/>
        </w:rPr>
        <w:t xml:space="preserve">"displacement status" </w:t>
      </w:r>
      <w:r>
        <w:rPr>
          <w:rFonts w:ascii="Times New Roman" w:hAnsi="Times New Roman" w:cs="Times New Roman"/>
          <w:sz w:val="22"/>
          <w:szCs w:val="22"/>
          <w:lang w:val="en-GB"/>
        </w:rPr>
        <w:t>including</w:t>
      </w:r>
      <w:r w:rsidRPr="0095429B">
        <w:rPr>
          <w:rFonts w:ascii="Times New Roman" w:hAnsi="Times New Roman" w:cs="Times New Roman"/>
          <w:sz w:val="22"/>
          <w:szCs w:val="22"/>
          <w:lang w:val="en-GB"/>
        </w:rPr>
        <w:t xml:space="preserve"> </w:t>
      </w:r>
      <w:r w:rsidRPr="0095429B">
        <w:rPr>
          <w:rFonts w:ascii="Times New Roman" w:hAnsi="Times New Roman" w:cs="Times New Roman"/>
          <w:i/>
          <w:sz w:val="22"/>
          <w:szCs w:val="22"/>
          <w:lang w:val="en-GB"/>
        </w:rPr>
        <w:t>IDPs</w:t>
      </w:r>
      <w:r w:rsidRPr="0095429B">
        <w:rPr>
          <w:rFonts w:ascii="Times New Roman" w:hAnsi="Times New Roman" w:cs="Times New Roman"/>
          <w:sz w:val="22"/>
          <w:szCs w:val="22"/>
          <w:lang w:val="en-GB"/>
        </w:rPr>
        <w:t xml:space="preserve"> and </w:t>
      </w:r>
      <w:r w:rsidRPr="0095429B">
        <w:rPr>
          <w:rFonts w:ascii="Times New Roman" w:hAnsi="Times New Roman" w:cs="Times New Roman"/>
          <w:i/>
          <w:sz w:val="22"/>
          <w:szCs w:val="22"/>
          <w:lang w:val="en-GB"/>
        </w:rPr>
        <w:t>refugees.</w:t>
      </w:r>
      <w:r w:rsidRPr="00E5478B">
        <w:rPr>
          <w:rFonts w:ascii="Times New Roman" w:hAnsi="Times New Roman" w:cs="Times New Roman"/>
          <w:sz w:val="22"/>
          <w:szCs w:val="22"/>
          <w:lang w:val="en-GB"/>
        </w:rPr>
        <w:t xml:space="preserve"> </w:t>
      </w:r>
    </w:p>
    <w:p w:rsidR="00400AE4" w:rsidRPr="00C56E3C" w:rsidRDefault="00400AE4" w:rsidP="00400AE4">
      <w:pPr>
        <w:rPr>
          <w:sz w:val="22"/>
          <w:szCs w:val="22"/>
          <w:lang w:val="en-GB"/>
        </w:rPr>
      </w:pP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1.2.2: proportion of population living below national poverty line, disaggregated by sex and age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 xml:space="preserve">2.1.1: Prevalence of population with moderate or severe food insecurity (based on the Food Insecurity Experience Scale), </w:t>
      </w:r>
      <w:r>
        <w:rPr>
          <w:color w:val="FF0000"/>
          <w:sz w:val="22"/>
          <w:szCs w:val="22"/>
          <w:lang w:val="en-GB"/>
        </w:rPr>
        <w:t>disaggregated by displacement</w:t>
      </w:r>
      <w:r w:rsidRPr="00C56E3C">
        <w:rPr>
          <w:color w:val="FF0000"/>
          <w:sz w:val="22"/>
          <w:szCs w:val="22"/>
          <w:lang w:val="en-GB"/>
        </w:rPr>
        <w:t xml:space="preserve"> status</w:t>
      </w:r>
      <w:r w:rsidRPr="00C56E3C">
        <w:rPr>
          <w:sz w:val="22"/>
          <w:szCs w:val="22"/>
          <w:lang w:val="en-GB"/>
        </w:rPr>
        <w:t xml:space="preserve"> </w:t>
      </w:r>
    </w:p>
    <w:p w:rsidR="00400AE4" w:rsidRPr="00C56E3C" w:rsidRDefault="00400AE4" w:rsidP="00400AE4">
      <w:pPr>
        <w:pStyle w:val="ListParagraph"/>
        <w:numPr>
          <w:ilvl w:val="0"/>
          <w:numId w:val="2"/>
        </w:numPr>
        <w:ind w:left="426"/>
        <w:rPr>
          <w:sz w:val="22"/>
          <w:szCs w:val="22"/>
          <w:lang w:val="en-GB"/>
        </w:rPr>
      </w:pPr>
      <w:proofErr w:type="gramStart"/>
      <w:r w:rsidRPr="00C56E3C">
        <w:rPr>
          <w:sz w:val="22"/>
          <w:szCs w:val="22"/>
          <w:lang w:val="en-GB"/>
        </w:rPr>
        <w:t>5.a.2</w:t>
      </w:r>
      <w:proofErr w:type="gramEnd"/>
      <w:r w:rsidRPr="00C56E3C">
        <w:rPr>
          <w:sz w:val="22"/>
          <w:szCs w:val="22"/>
          <w:lang w:val="en-GB"/>
        </w:rPr>
        <w:t>: Proportion of population with an account at a formal financial institution, by sex and age.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8.5.2: Unemployment rate of population</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8.8.2: Frequency rates of fatal and non-fatal occupational injuries and time lost due to occupational injuries by gender</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10.3.1: Percentage of population reporting perceived existence of discrimination based on all grounds of discrimination prohibited by international human rights laws.</w:t>
      </w:r>
    </w:p>
    <w:p w:rsidR="00400AE4" w:rsidRPr="007C18F0" w:rsidRDefault="00400AE4" w:rsidP="00400AE4">
      <w:pPr>
        <w:pStyle w:val="ListParagraph"/>
        <w:numPr>
          <w:ilvl w:val="0"/>
          <w:numId w:val="2"/>
        </w:numPr>
        <w:ind w:left="426"/>
        <w:rPr>
          <w:sz w:val="22"/>
          <w:szCs w:val="22"/>
          <w:lang w:val="en-GB"/>
        </w:rPr>
      </w:pPr>
      <w:r w:rsidRPr="00C56E3C">
        <w:rPr>
          <w:sz w:val="22"/>
          <w:szCs w:val="22"/>
          <w:lang w:val="en-GB"/>
        </w:rPr>
        <w:t>10</w:t>
      </w:r>
      <w:r w:rsidRPr="007C18F0">
        <w:rPr>
          <w:sz w:val="22"/>
          <w:szCs w:val="22"/>
          <w:lang w:val="en-GB"/>
        </w:rPr>
        <w:t xml:space="preserve">.4.1: Percentage of people covered by minimum social protection </w:t>
      </w:r>
      <w:proofErr w:type="gramStart"/>
      <w:r w:rsidRPr="007C18F0">
        <w:rPr>
          <w:sz w:val="22"/>
          <w:szCs w:val="22"/>
          <w:lang w:val="en-GB"/>
        </w:rPr>
        <w:t>floor, that</w:t>
      </w:r>
      <w:proofErr w:type="gramEnd"/>
      <w:r w:rsidRPr="007C18F0">
        <w:rPr>
          <w:sz w:val="22"/>
          <w:szCs w:val="22"/>
          <w:lang w:val="en-GB"/>
        </w:rPr>
        <w:t xml:space="preserve"> include basic education and health packages. </w:t>
      </w:r>
    </w:p>
    <w:p w:rsidR="00400AE4" w:rsidRPr="007C18F0" w:rsidRDefault="00400AE4" w:rsidP="00400AE4">
      <w:pPr>
        <w:pStyle w:val="ListParagraph"/>
        <w:numPr>
          <w:ilvl w:val="0"/>
          <w:numId w:val="2"/>
        </w:numPr>
        <w:ind w:left="426"/>
        <w:rPr>
          <w:sz w:val="22"/>
          <w:szCs w:val="22"/>
          <w:lang w:val="en-GB"/>
        </w:rPr>
      </w:pPr>
      <w:r w:rsidRPr="007C18F0">
        <w:rPr>
          <w:sz w:val="22"/>
          <w:szCs w:val="22"/>
          <w:lang w:val="en-GB"/>
        </w:rPr>
        <w:t>11.5.1:</w:t>
      </w:r>
      <w:r w:rsidRPr="00C56E3C">
        <w:rPr>
          <w:sz w:val="22"/>
          <w:szCs w:val="22"/>
          <w:lang w:val="en-GB"/>
        </w:rPr>
        <w:t xml:space="preserve"> Number of people killed, injured, displaced, evacuated, relocated or otherwise affected by disasters, </w:t>
      </w:r>
      <w:r w:rsidRPr="00C56E3C">
        <w:rPr>
          <w:color w:val="FF0000"/>
          <w:sz w:val="22"/>
          <w:szCs w:val="22"/>
          <w:lang w:val="en-GB"/>
        </w:rPr>
        <w:t>disaggregated by displacement status</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16.2.2: Number of victims of human trafficking per 100,000 people.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 xml:space="preserve">16.9.1: Percentage of children under 5 whose births have been registered with civil authority disaggregated by </w:t>
      </w:r>
      <w:r w:rsidRPr="00C56E3C">
        <w:rPr>
          <w:color w:val="FF0000"/>
          <w:sz w:val="22"/>
          <w:szCs w:val="22"/>
          <w:lang w:val="en-GB"/>
        </w:rPr>
        <w:t>displacement status as well as nativity or citizenship status</w:t>
      </w:r>
      <w:r w:rsidRPr="00C56E3C">
        <w:rPr>
          <w:sz w:val="22"/>
          <w:szCs w:val="22"/>
          <w:lang w:val="en-GB"/>
        </w:rPr>
        <w:t>.</w:t>
      </w:r>
    </w:p>
    <w:p w:rsidR="00C477DC" w:rsidRDefault="00C477DC"/>
    <w:sectPr w:rsidR="00C477DC" w:rsidSect="00400AE4">
      <w:headerReference w:type="even" r:id="rId15"/>
      <w:headerReference w:type="default" r:id="rId16"/>
      <w:footerReference w:type="even" r:id="rId17"/>
      <w:footerReference w:type="default" r:id="rId18"/>
      <w:headerReference w:type="first" r:id="rId19"/>
      <w:footerReference w:type="first" r:id="rId20"/>
      <w:pgSz w:w="11900" w:h="16840"/>
      <w:pgMar w:top="1440" w:right="1268"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A38" w:rsidRDefault="00723A38" w:rsidP="00400AE4">
      <w:r>
        <w:separator/>
      </w:r>
    </w:p>
  </w:endnote>
  <w:endnote w:type="continuationSeparator" w:id="0">
    <w:p w:rsidR="00723A38" w:rsidRDefault="00723A38" w:rsidP="0040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A38" w:rsidRDefault="00723A38" w:rsidP="00400AE4">
      <w:r>
        <w:separator/>
      </w:r>
    </w:p>
  </w:footnote>
  <w:footnote w:type="continuationSeparator" w:id="0">
    <w:p w:rsidR="00723A38" w:rsidRDefault="00723A38" w:rsidP="00400AE4">
      <w:r>
        <w:continuationSeparator/>
      </w:r>
    </w:p>
  </w:footnote>
  <w:footnote w:id="1">
    <w:p w:rsidR="00D07AB2" w:rsidRPr="00FB4809" w:rsidRDefault="00D07AB2" w:rsidP="00400AE4">
      <w:pPr>
        <w:pStyle w:val="FootnoteText"/>
        <w:rPr>
          <w:rFonts w:ascii="Times New Roman" w:hAnsi="Times New Roman"/>
          <w:sz w:val="20"/>
          <w:szCs w:val="20"/>
          <w:lang w:val="en-US"/>
        </w:rPr>
      </w:pPr>
      <w:r w:rsidRPr="00FB4809">
        <w:rPr>
          <w:rStyle w:val="FootnoteReference"/>
          <w:rFonts w:ascii="Times New Roman" w:hAnsi="Times New Roman"/>
          <w:sz w:val="20"/>
          <w:szCs w:val="20"/>
        </w:rPr>
        <w:footnoteRef/>
      </w:r>
      <w:r w:rsidRPr="00FB4809">
        <w:rPr>
          <w:rFonts w:ascii="Times New Roman" w:hAnsi="Times New Roman"/>
          <w:sz w:val="20"/>
          <w:szCs w:val="20"/>
        </w:rPr>
        <w:t xml:space="preserve"> The </w:t>
      </w:r>
      <w:r>
        <w:rPr>
          <w:rFonts w:ascii="Times New Roman" w:hAnsi="Times New Roman"/>
          <w:sz w:val="20"/>
          <w:szCs w:val="20"/>
        </w:rPr>
        <w:t xml:space="preserve">core international human rights instruments including the International Convention on the Protection of the Rights of All Migrant Workers and Members of their Families; </w:t>
      </w:r>
      <w:r w:rsidRPr="00FB4809">
        <w:rPr>
          <w:rFonts w:ascii="Times New Roman" w:hAnsi="Times New Roman"/>
          <w:sz w:val="20"/>
          <w:szCs w:val="20"/>
        </w:rPr>
        <w:t>1951 refugee convention and its 1967 protocol; human trafficking and migrant smuggling protocols to transnational crime convention;; two conventions on prevention and reduction of statelessness; two ILO labour migration conventions; ILO domestic worker convention</w:t>
      </w:r>
      <w:r>
        <w:rPr>
          <w:rFonts w:ascii="Times New Roman" w:hAnsi="Times New Roman"/>
          <w:sz w:val="20"/>
          <w:szCs w:val="20"/>
        </w:rPr>
        <w:t xml:space="preserve"> (to be completed with formal nomenclature)</w:t>
      </w:r>
      <w:r w:rsidRPr="00FB4809">
        <w:rPr>
          <w:rFonts w:ascii="Times New Roman" w:hAnsi="Times New Roman"/>
          <w:sz w:val="20"/>
          <w:szCs w:val="20"/>
        </w:rPr>
        <w:t>.</w:t>
      </w:r>
    </w:p>
  </w:footnote>
  <w:footnote w:id="2">
    <w:p w:rsidR="00D07AB2" w:rsidRPr="00FF04E1" w:rsidRDefault="00D07AB2" w:rsidP="00D07AB2">
      <w:pPr>
        <w:pStyle w:val="FootnoteText"/>
        <w:rPr>
          <w:rFonts w:asciiTheme="minorHAnsi" w:hAnsiTheme="minorHAnsi"/>
          <w:sz w:val="16"/>
          <w:szCs w:val="16"/>
          <w:lang w:val="en-US"/>
        </w:rPr>
      </w:pPr>
      <w:r w:rsidRPr="00FF04E1">
        <w:rPr>
          <w:rStyle w:val="FootnoteReference"/>
          <w:rFonts w:asciiTheme="minorHAnsi" w:hAnsiTheme="minorHAnsi"/>
          <w:sz w:val="16"/>
          <w:szCs w:val="16"/>
        </w:rPr>
        <w:footnoteRef/>
      </w:r>
      <w:r w:rsidRPr="00FF04E1">
        <w:rPr>
          <w:rFonts w:asciiTheme="minorHAnsi" w:hAnsiTheme="minorHAnsi"/>
          <w:sz w:val="16"/>
          <w:szCs w:val="16"/>
        </w:rPr>
        <w:t xml:space="preserve"> Noting that migration is a cross-cutting issue, a number of additional targets would benefit from this indicator including: </w:t>
      </w:r>
      <w:r w:rsidRPr="00FF04E1">
        <w:rPr>
          <w:rFonts w:asciiTheme="minorHAnsi" w:hAnsiTheme="minorHAnsi"/>
          <w:sz w:val="16"/>
          <w:szCs w:val="16"/>
          <w:lang w:val="en-US"/>
        </w:rPr>
        <w:t>10.2 (social and economic inclusion); 10.3 (equal opportunity and ending discriminatory laws); 10.4 (adopt policies and achieve greater equality); 1.3 (implement social protection systems for all); 1.4 (ensure that all men and women, particularly the vulnerable have access to basic services); 3.8 (achieve universal health care coverage); 4.1 (girls and boys complete primary and secondary education); 17.3 (mobilize additional financial resources); 16.1 (reduce violence and related death rates); 1.5 (build the resilience of those in vulnerable situations to disasters); 11.5 (reduce the number of deaths and people affected by disasters).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723A38">
    <w:pPr>
      <w:pStyle w:val="Header"/>
    </w:pPr>
    <w:r>
      <w:rPr>
        <w:noProof/>
      </w:rPr>
      <w:pict w14:anchorId="4E7C32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38.8pt;height:146.25pt;rotation:315;z-index:-251659776;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723A38">
    <w:pPr>
      <w:pStyle w:val="Header"/>
    </w:pPr>
    <w:r>
      <w:rPr>
        <w:noProof/>
      </w:rPr>
      <w:pict w14:anchorId="0DA89B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38.8pt;height:146.25pt;rotation:315;z-index:-251657728;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723A38">
    <w:pPr>
      <w:pStyle w:val="Header"/>
    </w:pPr>
    <w:r>
      <w:rPr>
        <w:noProof/>
      </w:rPr>
      <w:pict w14:anchorId="185604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38.8pt;height:146.25pt;rotation:315;z-index:-251658752;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21E7B"/>
    <w:multiLevelType w:val="hybridMultilevel"/>
    <w:tmpl w:val="7EFAD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9B5243"/>
    <w:multiLevelType w:val="hybridMultilevel"/>
    <w:tmpl w:val="1194A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DCC02A2"/>
    <w:multiLevelType w:val="hybridMultilevel"/>
    <w:tmpl w:val="4E4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452376"/>
    <w:multiLevelType w:val="hybridMultilevel"/>
    <w:tmpl w:val="5EB0FA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AE4"/>
    <w:rsid w:val="0012354F"/>
    <w:rsid w:val="00157124"/>
    <w:rsid w:val="001634F8"/>
    <w:rsid w:val="001A29C8"/>
    <w:rsid w:val="002A1566"/>
    <w:rsid w:val="002D12CE"/>
    <w:rsid w:val="00306EF8"/>
    <w:rsid w:val="003207E7"/>
    <w:rsid w:val="00346D0F"/>
    <w:rsid w:val="00357F88"/>
    <w:rsid w:val="00400AE4"/>
    <w:rsid w:val="004347C5"/>
    <w:rsid w:val="0043719B"/>
    <w:rsid w:val="00480300"/>
    <w:rsid w:val="005A12B2"/>
    <w:rsid w:val="005F36B9"/>
    <w:rsid w:val="00615735"/>
    <w:rsid w:val="00723A38"/>
    <w:rsid w:val="00760340"/>
    <w:rsid w:val="00772271"/>
    <w:rsid w:val="007824EA"/>
    <w:rsid w:val="007B2862"/>
    <w:rsid w:val="007C18F0"/>
    <w:rsid w:val="008D1A6F"/>
    <w:rsid w:val="009568D0"/>
    <w:rsid w:val="00A53FF9"/>
    <w:rsid w:val="00A83E27"/>
    <w:rsid w:val="00B560B2"/>
    <w:rsid w:val="00B60A17"/>
    <w:rsid w:val="00B63089"/>
    <w:rsid w:val="00C477DC"/>
    <w:rsid w:val="00C57450"/>
    <w:rsid w:val="00CD784E"/>
    <w:rsid w:val="00D07AB2"/>
    <w:rsid w:val="00D7019F"/>
    <w:rsid w:val="00D94A73"/>
    <w:rsid w:val="00D978E7"/>
    <w:rsid w:val="00DE5561"/>
    <w:rsid w:val="00F36974"/>
    <w:rsid w:val="00F40D81"/>
    <w:rsid w:val="00FA122A"/>
    <w:rsid w:val="00FC79D4"/>
    <w:rsid w:val="00FD01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 w:type="character" w:styleId="FollowedHyperlink">
    <w:name w:val="FollowedHyperlink"/>
    <w:basedOn w:val="DefaultParagraphFont"/>
    <w:uiPriority w:val="99"/>
    <w:semiHidden/>
    <w:unhideWhenUsed/>
    <w:rsid w:val="00FA122A"/>
    <w:rPr>
      <w:color w:val="800080" w:themeColor="followedHyperlink"/>
      <w:u w:val="single"/>
    </w:rPr>
  </w:style>
  <w:style w:type="character" w:styleId="CommentReference">
    <w:name w:val="annotation reference"/>
    <w:basedOn w:val="DefaultParagraphFont"/>
    <w:uiPriority w:val="99"/>
    <w:semiHidden/>
    <w:unhideWhenUsed/>
    <w:rsid w:val="00FA122A"/>
    <w:rPr>
      <w:sz w:val="16"/>
      <w:szCs w:val="16"/>
    </w:rPr>
  </w:style>
  <w:style w:type="paragraph" w:styleId="CommentText">
    <w:name w:val="annotation text"/>
    <w:basedOn w:val="Normal"/>
    <w:link w:val="CommentTextChar"/>
    <w:uiPriority w:val="99"/>
    <w:semiHidden/>
    <w:unhideWhenUsed/>
    <w:rsid w:val="00FA122A"/>
    <w:rPr>
      <w:sz w:val="20"/>
      <w:szCs w:val="20"/>
    </w:rPr>
  </w:style>
  <w:style w:type="character" w:customStyle="1" w:styleId="CommentTextChar">
    <w:name w:val="Comment Text Char"/>
    <w:basedOn w:val="DefaultParagraphFont"/>
    <w:link w:val="CommentText"/>
    <w:uiPriority w:val="99"/>
    <w:semiHidden/>
    <w:rsid w:val="00FA122A"/>
    <w:rPr>
      <w:sz w:val="20"/>
      <w:szCs w:val="20"/>
    </w:rPr>
  </w:style>
  <w:style w:type="paragraph" w:styleId="CommentSubject">
    <w:name w:val="annotation subject"/>
    <w:basedOn w:val="CommentText"/>
    <w:next w:val="CommentText"/>
    <w:link w:val="CommentSubjectChar"/>
    <w:uiPriority w:val="99"/>
    <w:semiHidden/>
    <w:unhideWhenUsed/>
    <w:rsid w:val="00FA122A"/>
    <w:rPr>
      <w:b/>
      <w:bCs/>
    </w:rPr>
  </w:style>
  <w:style w:type="character" w:customStyle="1" w:styleId="CommentSubjectChar">
    <w:name w:val="Comment Subject Char"/>
    <w:basedOn w:val="CommentTextChar"/>
    <w:link w:val="CommentSubject"/>
    <w:uiPriority w:val="99"/>
    <w:semiHidden/>
    <w:rsid w:val="00FA122A"/>
    <w:rPr>
      <w:b/>
      <w:bCs/>
      <w:sz w:val="20"/>
      <w:szCs w:val="20"/>
    </w:rPr>
  </w:style>
  <w:style w:type="paragraph" w:styleId="Revision">
    <w:name w:val="Revision"/>
    <w:hidden/>
    <w:uiPriority w:val="99"/>
    <w:semiHidden/>
    <w:rsid w:val="002D12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 w:type="character" w:styleId="FollowedHyperlink">
    <w:name w:val="FollowedHyperlink"/>
    <w:basedOn w:val="DefaultParagraphFont"/>
    <w:uiPriority w:val="99"/>
    <w:semiHidden/>
    <w:unhideWhenUsed/>
    <w:rsid w:val="00FA122A"/>
    <w:rPr>
      <w:color w:val="800080" w:themeColor="followedHyperlink"/>
      <w:u w:val="single"/>
    </w:rPr>
  </w:style>
  <w:style w:type="character" w:styleId="CommentReference">
    <w:name w:val="annotation reference"/>
    <w:basedOn w:val="DefaultParagraphFont"/>
    <w:uiPriority w:val="99"/>
    <w:semiHidden/>
    <w:unhideWhenUsed/>
    <w:rsid w:val="00FA122A"/>
    <w:rPr>
      <w:sz w:val="16"/>
      <w:szCs w:val="16"/>
    </w:rPr>
  </w:style>
  <w:style w:type="paragraph" w:styleId="CommentText">
    <w:name w:val="annotation text"/>
    <w:basedOn w:val="Normal"/>
    <w:link w:val="CommentTextChar"/>
    <w:uiPriority w:val="99"/>
    <w:semiHidden/>
    <w:unhideWhenUsed/>
    <w:rsid w:val="00FA122A"/>
    <w:rPr>
      <w:sz w:val="20"/>
      <w:szCs w:val="20"/>
    </w:rPr>
  </w:style>
  <w:style w:type="character" w:customStyle="1" w:styleId="CommentTextChar">
    <w:name w:val="Comment Text Char"/>
    <w:basedOn w:val="DefaultParagraphFont"/>
    <w:link w:val="CommentText"/>
    <w:uiPriority w:val="99"/>
    <w:semiHidden/>
    <w:rsid w:val="00FA122A"/>
    <w:rPr>
      <w:sz w:val="20"/>
      <w:szCs w:val="20"/>
    </w:rPr>
  </w:style>
  <w:style w:type="paragraph" w:styleId="CommentSubject">
    <w:name w:val="annotation subject"/>
    <w:basedOn w:val="CommentText"/>
    <w:next w:val="CommentText"/>
    <w:link w:val="CommentSubjectChar"/>
    <w:uiPriority w:val="99"/>
    <w:semiHidden/>
    <w:unhideWhenUsed/>
    <w:rsid w:val="00FA122A"/>
    <w:rPr>
      <w:b/>
      <w:bCs/>
    </w:rPr>
  </w:style>
  <w:style w:type="character" w:customStyle="1" w:styleId="CommentSubjectChar">
    <w:name w:val="Comment Subject Char"/>
    <w:basedOn w:val="CommentTextChar"/>
    <w:link w:val="CommentSubject"/>
    <w:uiPriority w:val="99"/>
    <w:semiHidden/>
    <w:rsid w:val="00FA122A"/>
    <w:rPr>
      <w:b/>
      <w:bCs/>
      <w:sz w:val="20"/>
      <w:szCs w:val="20"/>
    </w:rPr>
  </w:style>
  <w:style w:type="paragraph" w:styleId="Revision">
    <w:name w:val="Revision"/>
    <w:hidden/>
    <w:uiPriority w:val="99"/>
    <w:semiHidden/>
    <w:rsid w:val="002D1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fmd.org/pfp/policy-tools/migration-profil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un.org/en/development/desa/population/publications/policy/world-population-policies-2013.s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a.un.org/PopPolicy/about_database.asp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sa.un.org/PopPolicy/Inquiry.aspx"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bluejeans.com/706348641/browser?name=Lars+Johan" TargetMode="External"/><Relationship Id="rId14" Type="http://schemas.openxmlformats.org/officeDocument/2006/relationships/hyperlink" Target="http://remittanceprices.worldbank.org/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11447-9057-4399-A2C5-EC938E6F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17687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MacDermott</dc:creator>
  <cp:lastModifiedBy>Benjamin Rae</cp:lastModifiedBy>
  <cp:revision>2</cp:revision>
  <cp:lastPrinted>2015-05-14T14:23:00Z</cp:lastPrinted>
  <dcterms:created xsi:type="dcterms:W3CDTF">2015-05-20T18:10:00Z</dcterms:created>
  <dcterms:modified xsi:type="dcterms:W3CDTF">2015-05-20T18:10:00Z</dcterms:modified>
</cp:coreProperties>
</file>